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CF2" w:rsidRPr="00D64ABA" w:rsidRDefault="0073106E" w:rsidP="00F3578E">
      <w:pPr>
        <w:widowControl w:val="0"/>
        <w:autoSpaceDE w:val="0"/>
        <w:autoSpaceDN w:val="0"/>
        <w:adjustRightInd w:val="0"/>
        <w:ind w:left="-720"/>
        <w:jc w:val="center"/>
        <w:rPr>
          <w:b/>
          <w:bCs/>
          <w:sz w:val="32"/>
          <w:szCs w:val="32"/>
        </w:rPr>
      </w:pPr>
      <w:r w:rsidRPr="00D64ABA">
        <w:rPr>
          <w:b/>
          <w:bCs/>
          <w:sz w:val="32"/>
          <w:szCs w:val="32"/>
        </w:rPr>
        <w:t>И</w:t>
      </w:r>
      <w:r w:rsidR="001A7860" w:rsidRPr="00D64ABA">
        <w:rPr>
          <w:b/>
          <w:bCs/>
          <w:sz w:val="32"/>
          <w:szCs w:val="32"/>
        </w:rPr>
        <w:t>нформаци</w:t>
      </w:r>
      <w:r w:rsidRPr="00D64ABA">
        <w:rPr>
          <w:b/>
          <w:bCs/>
          <w:sz w:val="32"/>
          <w:szCs w:val="32"/>
        </w:rPr>
        <w:t xml:space="preserve">я </w:t>
      </w:r>
      <w:r w:rsidR="001A7860" w:rsidRPr="00D64ABA">
        <w:rPr>
          <w:b/>
          <w:bCs/>
          <w:sz w:val="32"/>
          <w:szCs w:val="32"/>
        </w:rPr>
        <w:t xml:space="preserve"> о практике достижения наилучш</w:t>
      </w:r>
      <w:r w:rsidRPr="00D64ABA">
        <w:rPr>
          <w:b/>
          <w:bCs/>
          <w:sz w:val="32"/>
          <w:szCs w:val="32"/>
        </w:rPr>
        <w:t>их</w:t>
      </w:r>
    </w:p>
    <w:p w:rsidR="0073106E" w:rsidRPr="00D64ABA" w:rsidRDefault="001A7860" w:rsidP="00F3578E">
      <w:pPr>
        <w:widowControl w:val="0"/>
        <w:autoSpaceDE w:val="0"/>
        <w:autoSpaceDN w:val="0"/>
        <w:adjustRightInd w:val="0"/>
        <w:ind w:left="-720"/>
        <w:jc w:val="center"/>
        <w:rPr>
          <w:b/>
          <w:bCs/>
          <w:sz w:val="32"/>
          <w:szCs w:val="32"/>
        </w:rPr>
      </w:pPr>
      <w:r w:rsidRPr="00D64ABA">
        <w:rPr>
          <w:b/>
          <w:bCs/>
          <w:sz w:val="32"/>
          <w:szCs w:val="32"/>
        </w:rPr>
        <w:t>значени</w:t>
      </w:r>
      <w:r w:rsidR="0073106E" w:rsidRPr="00D64ABA">
        <w:rPr>
          <w:b/>
          <w:bCs/>
          <w:sz w:val="32"/>
          <w:szCs w:val="32"/>
        </w:rPr>
        <w:t>й</w:t>
      </w:r>
      <w:r w:rsidRPr="00D64ABA">
        <w:rPr>
          <w:b/>
          <w:bCs/>
          <w:sz w:val="32"/>
          <w:szCs w:val="32"/>
        </w:rPr>
        <w:t xml:space="preserve"> показател</w:t>
      </w:r>
      <w:r w:rsidR="0073106E" w:rsidRPr="00D64ABA">
        <w:rPr>
          <w:b/>
          <w:bCs/>
          <w:sz w:val="32"/>
          <w:szCs w:val="32"/>
        </w:rPr>
        <w:t>ей</w:t>
      </w:r>
      <w:r w:rsidR="006233BA" w:rsidRPr="00D64ABA">
        <w:rPr>
          <w:b/>
          <w:bCs/>
          <w:sz w:val="32"/>
          <w:szCs w:val="32"/>
        </w:rPr>
        <w:t xml:space="preserve"> </w:t>
      </w:r>
      <w:r w:rsidRPr="00D64ABA">
        <w:rPr>
          <w:b/>
          <w:bCs/>
          <w:sz w:val="32"/>
          <w:szCs w:val="32"/>
        </w:rPr>
        <w:t>за 201</w:t>
      </w:r>
      <w:r w:rsidR="00525901">
        <w:rPr>
          <w:b/>
          <w:bCs/>
          <w:sz w:val="32"/>
          <w:szCs w:val="32"/>
        </w:rPr>
        <w:t>7</w:t>
      </w:r>
      <w:r w:rsidRPr="00D64ABA">
        <w:rPr>
          <w:b/>
          <w:bCs/>
          <w:sz w:val="32"/>
          <w:szCs w:val="32"/>
        </w:rPr>
        <w:t xml:space="preserve"> год</w:t>
      </w:r>
    </w:p>
    <w:p w:rsidR="009E2072" w:rsidRPr="00D64ABA" w:rsidRDefault="009E2072" w:rsidP="00F3578E">
      <w:pPr>
        <w:widowControl w:val="0"/>
        <w:autoSpaceDE w:val="0"/>
        <w:autoSpaceDN w:val="0"/>
        <w:adjustRightInd w:val="0"/>
        <w:ind w:left="-720" w:firstLine="709"/>
        <w:jc w:val="center"/>
        <w:rPr>
          <w:bCs/>
          <w:sz w:val="28"/>
          <w:szCs w:val="28"/>
        </w:rPr>
      </w:pPr>
    </w:p>
    <w:p w:rsidR="00525901" w:rsidRPr="00DC2549" w:rsidRDefault="00525901" w:rsidP="00525901">
      <w:pPr>
        <w:widowControl w:val="0"/>
        <w:autoSpaceDE w:val="0"/>
        <w:autoSpaceDN w:val="0"/>
        <w:adjustRightInd w:val="0"/>
        <w:jc w:val="center"/>
        <w:outlineLvl w:val="1"/>
        <w:rPr>
          <w:b/>
          <w:i/>
          <w:sz w:val="28"/>
          <w:szCs w:val="28"/>
        </w:rPr>
      </w:pPr>
      <w:r w:rsidRPr="00DC2549">
        <w:rPr>
          <w:b/>
          <w:i/>
          <w:sz w:val="28"/>
          <w:szCs w:val="28"/>
        </w:rPr>
        <w:t>Показатель «Объем инвестиций в основной капитал (за исключением</w:t>
      </w:r>
    </w:p>
    <w:p w:rsidR="00525901" w:rsidRPr="00DC2549" w:rsidRDefault="00525901" w:rsidP="00525901">
      <w:pPr>
        <w:widowControl w:val="0"/>
        <w:autoSpaceDE w:val="0"/>
        <w:autoSpaceDN w:val="0"/>
        <w:adjustRightInd w:val="0"/>
        <w:jc w:val="center"/>
        <w:rPr>
          <w:b/>
          <w:i/>
          <w:sz w:val="28"/>
          <w:szCs w:val="28"/>
        </w:rPr>
      </w:pPr>
      <w:r w:rsidRPr="00DC2549">
        <w:rPr>
          <w:b/>
          <w:i/>
          <w:sz w:val="28"/>
          <w:szCs w:val="28"/>
        </w:rPr>
        <w:t xml:space="preserve">бюджетных средств) в расчете на одного жителя» </w:t>
      </w:r>
    </w:p>
    <w:p w:rsidR="00525901" w:rsidRPr="00DC2549" w:rsidRDefault="00525901" w:rsidP="00525901">
      <w:pPr>
        <w:shd w:val="clear" w:color="auto" w:fill="FFFFFF"/>
        <w:ind w:firstLine="709"/>
        <w:jc w:val="both"/>
        <w:rPr>
          <w:sz w:val="28"/>
          <w:szCs w:val="28"/>
        </w:rPr>
      </w:pPr>
      <w:r w:rsidRPr="00DC2549">
        <w:rPr>
          <w:sz w:val="28"/>
          <w:szCs w:val="28"/>
        </w:rPr>
        <w:t>Объем инвестиций в основной капитал (за исключением бюджетных средств) в расчете на одного жителя в 2017 году составил  3 700 513,0 руб. (2016 год – 2 924 193,0 руб.).</w:t>
      </w:r>
    </w:p>
    <w:p w:rsidR="00525901" w:rsidRPr="00DC2549" w:rsidRDefault="00525901" w:rsidP="00525901">
      <w:pPr>
        <w:tabs>
          <w:tab w:val="left" w:pos="709"/>
        </w:tabs>
        <w:autoSpaceDE w:val="0"/>
        <w:autoSpaceDN w:val="0"/>
        <w:adjustRightInd w:val="0"/>
        <w:ind w:firstLine="851"/>
        <w:jc w:val="both"/>
        <w:rPr>
          <w:sz w:val="28"/>
          <w:szCs w:val="28"/>
        </w:rPr>
      </w:pPr>
      <w:r w:rsidRPr="00DC2549">
        <w:rPr>
          <w:sz w:val="28"/>
          <w:szCs w:val="28"/>
        </w:rPr>
        <w:t>В общем объеме инвестиций  - 97,8 % осуществлены за счет собственных средств организаций.</w:t>
      </w:r>
      <w:bookmarkStart w:id="0" w:name="_Toc449537807"/>
      <w:r w:rsidRPr="00DC2549">
        <w:t xml:space="preserve"> </w:t>
      </w:r>
      <w:bookmarkEnd w:id="0"/>
    </w:p>
    <w:p w:rsidR="00525901" w:rsidRPr="00DC2549" w:rsidRDefault="00525901" w:rsidP="00525901">
      <w:pPr>
        <w:ind w:firstLine="709"/>
        <w:jc w:val="both"/>
        <w:rPr>
          <w:sz w:val="28"/>
          <w:szCs w:val="28"/>
        </w:rPr>
      </w:pPr>
      <w:r w:rsidRPr="00DC2549">
        <w:rPr>
          <w:rStyle w:val="a9"/>
          <w:b w:val="0"/>
          <w:sz w:val="28"/>
          <w:szCs w:val="28"/>
        </w:rPr>
        <w:t xml:space="preserve">Наибольший удельный вес в структуре инвестиций в разрезе видов экономической деятельности занимают инвестиции по виду экономической деятельности </w:t>
      </w:r>
      <w:r w:rsidRPr="00DC2549">
        <w:rPr>
          <w:sz w:val="28"/>
          <w:szCs w:val="28"/>
        </w:rPr>
        <w:t xml:space="preserve">«Добыча полезных ископаемых» – 98,3 %. Инвестиционные программы данной отрасли направлены на развитие и модернизацию производственных мощностей. </w:t>
      </w:r>
    </w:p>
    <w:p w:rsidR="00525901" w:rsidRPr="00DC2549" w:rsidRDefault="00525901" w:rsidP="00525901">
      <w:pPr>
        <w:ind w:firstLine="709"/>
        <w:jc w:val="both"/>
        <w:rPr>
          <w:sz w:val="28"/>
          <w:szCs w:val="28"/>
        </w:rPr>
      </w:pPr>
      <w:r w:rsidRPr="00DC2549">
        <w:rPr>
          <w:sz w:val="28"/>
          <w:szCs w:val="28"/>
        </w:rPr>
        <w:t xml:space="preserve">На достигнутый уровень инвестиционной привлекательности района и ожидаемую  положительную динамику планового периода оказывает влияние активная инвестиционная политика нефтегазодобывающих предприятий, а также политика, проводимой органами местного самоуправления района по обеспечению благоприятного инвестиционного климата. </w:t>
      </w:r>
    </w:p>
    <w:p w:rsidR="00525901" w:rsidRPr="00DC2549" w:rsidRDefault="00525901" w:rsidP="00525901">
      <w:pPr>
        <w:ind w:firstLine="709"/>
        <w:jc w:val="both"/>
        <w:rPr>
          <w:rFonts w:eastAsia="Calibri"/>
          <w:spacing w:val="2"/>
          <w:sz w:val="28"/>
          <w:szCs w:val="28"/>
          <w:shd w:val="clear" w:color="auto" w:fill="FFFFFF"/>
        </w:rPr>
      </w:pPr>
      <w:r w:rsidRPr="00DC2549">
        <w:rPr>
          <w:color w:val="000000"/>
          <w:sz w:val="28"/>
          <w:szCs w:val="28"/>
        </w:rPr>
        <w:t xml:space="preserve">По результатам рейтинга муниципальных образований Ханты-Мансийского автономного округа – Югры по обеспечению благоприятного инвестиционного климата и содействию развитию конкуренции по итогам 2017 года Нижневартовский район занял 2 место в рейтинге  и вошел в </w:t>
      </w:r>
      <w:r w:rsidRPr="00DC2549">
        <w:rPr>
          <w:rFonts w:eastAsia="Calibri"/>
          <w:spacing w:val="2"/>
          <w:sz w:val="28"/>
          <w:szCs w:val="28"/>
          <w:shd w:val="clear" w:color="auto" w:fill="FFFFFF"/>
        </w:rPr>
        <w:t>группу муниципальных образований с благоприятными условиями развития предпринимательской и инвестиционной деятельности, высоким уровнем развития конкуренции.</w:t>
      </w:r>
    </w:p>
    <w:p w:rsidR="00525901" w:rsidRPr="00DC2549" w:rsidRDefault="00525901" w:rsidP="00525901">
      <w:pPr>
        <w:ind w:firstLine="709"/>
        <w:jc w:val="both"/>
        <w:rPr>
          <w:sz w:val="28"/>
          <w:szCs w:val="28"/>
        </w:rPr>
      </w:pPr>
      <w:r w:rsidRPr="00DC2549">
        <w:rPr>
          <w:sz w:val="28"/>
          <w:szCs w:val="28"/>
        </w:rPr>
        <w:t xml:space="preserve">Приоритетным направлением инвестиционной политики района является создание максимально комфортных условий для старта и введения бизнеса на территории района, формирование эффективного сопровождения проектов, в первую очередь для инвесторов обеспечена открытость информации об инвестиционном потенциале территории. </w:t>
      </w:r>
    </w:p>
    <w:p w:rsidR="00525901" w:rsidRPr="00DC2549" w:rsidRDefault="00525901" w:rsidP="00525901">
      <w:pPr>
        <w:ind w:firstLine="709"/>
        <w:jc w:val="both"/>
        <w:rPr>
          <w:sz w:val="28"/>
          <w:szCs w:val="28"/>
        </w:rPr>
      </w:pPr>
      <w:r w:rsidRPr="00DC2549">
        <w:rPr>
          <w:sz w:val="28"/>
          <w:szCs w:val="28"/>
        </w:rPr>
        <w:t xml:space="preserve">На официальном сайте муниципального образования создан инвестиционный портал Нижневартовского района, который является своеобразным путеводителем для деловых людей, потенциальных инвесторов, желающих установить экономические связи с районом. С целью оперативного решения вопросов, возникающих у инвестора, создан канал прямой связи. Еженедельно обновляется новостная лента для инвесторов и предпринимателей. </w:t>
      </w:r>
    </w:p>
    <w:p w:rsidR="00525901" w:rsidRPr="00DC2549" w:rsidRDefault="00525901" w:rsidP="00525901">
      <w:pPr>
        <w:ind w:left="-142" w:firstLine="851"/>
        <w:jc w:val="both"/>
        <w:rPr>
          <w:sz w:val="28"/>
          <w:szCs w:val="28"/>
        </w:rPr>
      </w:pPr>
      <w:r w:rsidRPr="00DC2549">
        <w:rPr>
          <w:sz w:val="28"/>
          <w:szCs w:val="28"/>
        </w:rPr>
        <w:t>Для создания благоприятного инвестиционного климата в Нижневартовском районе сформирован реестр из 75 инвестиционных, приоритетных социально-значимых проектов, общей инвестиционной емкостью более 5 миллиардов рублей, из них - 40 проектов на сумму 1 млрд. 130 млн. руб. реализуются за счет собственных средств инвесторов. На долю проектов в сферах сельского хозяйства приходится-30%, пищевой промышленности-10%, лесопромышленного комплекса- 7,5% На долю проектов в сферах сельского хозяйства приходится-30%, пищевой промышленности-10%, лесопромышленного комплекса</w:t>
      </w:r>
      <w:r w:rsidR="00D14177">
        <w:rPr>
          <w:sz w:val="28"/>
          <w:szCs w:val="28"/>
        </w:rPr>
        <w:t xml:space="preserve"> </w:t>
      </w:r>
      <w:r w:rsidRPr="00DC2549">
        <w:rPr>
          <w:sz w:val="28"/>
          <w:szCs w:val="28"/>
        </w:rPr>
        <w:t>- 7,5% За 2017 год реализовано 23 инвестиционных проекта на общую сумму более 700 млн. рублей.</w:t>
      </w:r>
    </w:p>
    <w:p w:rsidR="00AE7C95" w:rsidRPr="00DC2549" w:rsidRDefault="00AE7C95" w:rsidP="00525901">
      <w:pPr>
        <w:ind w:left="-142" w:firstLine="851"/>
        <w:jc w:val="both"/>
        <w:rPr>
          <w:sz w:val="28"/>
          <w:szCs w:val="28"/>
        </w:rPr>
      </w:pPr>
    </w:p>
    <w:p w:rsidR="00AE7C95" w:rsidRPr="00DC2549" w:rsidRDefault="00AE7C95" w:rsidP="00AE7C95">
      <w:pPr>
        <w:ind w:firstLine="709"/>
        <w:jc w:val="center"/>
        <w:rPr>
          <w:b/>
          <w:sz w:val="28"/>
          <w:szCs w:val="28"/>
        </w:rPr>
      </w:pPr>
      <w:r w:rsidRPr="00DC2549">
        <w:rPr>
          <w:b/>
          <w:sz w:val="28"/>
          <w:szCs w:val="28"/>
        </w:rPr>
        <w:t>Показатель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rsidR="00AE7C95" w:rsidRPr="00DC2549" w:rsidRDefault="00AE7C95" w:rsidP="00AE7C95">
      <w:pPr>
        <w:ind w:firstLine="709"/>
        <w:jc w:val="center"/>
        <w:rPr>
          <w:b/>
          <w:sz w:val="28"/>
          <w:szCs w:val="28"/>
        </w:rPr>
      </w:pPr>
    </w:p>
    <w:p w:rsidR="00AE7C95" w:rsidRPr="00DC2549" w:rsidRDefault="00AE7C95" w:rsidP="00AE7C95">
      <w:pPr>
        <w:ind w:firstLine="709"/>
        <w:jc w:val="both"/>
        <w:rPr>
          <w:sz w:val="28"/>
          <w:szCs w:val="28"/>
        </w:rPr>
      </w:pPr>
      <w:r w:rsidRPr="00DC2549">
        <w:rPr>
          <w:sz w:val="28"/>
          <w:szCs w:val="28"/>
        </w:rPr>
        <w:t xml:space="preserve">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составляет  83,8%  (2016 год – 81,5%). </w:t>
      </w:r>
    </w:p>
    <w:p w:rsidR="00AE7C95" w:rsidRPr="00DC2549" w:rsidRDefault="00AE7C95" w:rsidP="00AE7C95">
      <w:pPr>
        <w:ind w:firstLine="709"/>
        <w:jc w:val="both"/>
        <w:rPr>
          <w:sz w:val="28"/>
          <w:szCs w:val="28"/>
        </w:rPr>
      </w:pPr>
      <w:r w:rsidRPr="00DC2549">
        <w:rPr>
          <w:sz w:val="28"/>
          <w:szCs w:val="28"/>
        </w:rPr>
        <w:t>Увеличение доли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обеспечено за счет функционирования 17 групп кратковременного пребывания с охватом 328 человек. С 01.09.2018 запланировано открытие 2 групп для детей раннего дошкольного возраста.</w:t>
      </w:r>
    </w:p>
    <w:p w:rsidR="00AE7C95" w:rsidRPr="00DC2549" w:rsidRDefault="00AE7C95" w:rsidP="00525901">
      <w:pPr>
        <w:ind w:left="-142" w:firstLine="851"/>
        <w:jc w:val="both"/>
        <w:rPr>
          <w:sz w:val="28"/>
          <w:szCs w:val="28"/>
        </w:rPr>
      </w:pPr>
    </w:p>
    <w:p w:rsidR="00525901" w:rsidRPr="00DC2549" w:rsidRDefault="00525901" w:rsidP="00525901">
      <w:pPr>
        <w:ind w:firstLine="720"/>
        <w:jc w:val="both"/>
        <w:rPr>
          <w:sz w:val="28"/>
          <w:szCs w:val="28"/>
        </w:rPr>
      </w:pPr>
    </w:p>
    <w:p w:rsidR="00525901" w:rsidRPr="00DC2549" w:rsidRDefault="00525901" w:rsidP="00AE7C95">
      <w:pPr>
        <w:widowControl w:val="0"/>
        <w:autoSpaceDE w:val="0"/>
        <w:autoSpaceDN w:val="0"/>
        <w:adjustRightInd w:val="0"/>
        <w:jc w:val="center"/>
        <w:outlineLvl w:val="1"/>
        <w:rPr>
          <w:b/>
          <w:i/>
          <w:sz w:val="28"/>
          <w:szCs w:val="28"/>
        </w:rPr>
      </w:pPr>
      <w:r w:rsidRPr="00DC2549">
        <w:rPr>
          <w:b/>
          <w:i/>
          <w:sz w:val="28"/>
          <w:szCs w:val="28"/>
        </w:rPr>
        <w:t>Показатель «Доля детей в возрасте 1 - 6 лет, состоящих на учете</w:t>
      </w:r>
    </w:p>
    <w:p w:rsidR="00525901" w:rsidRPr="00DC2549" w:rsidRDefault="00525901" w:rsidP="00AE7C95">
      <w:pPr>
        <w:widowControl w:val="0"/>
        <w:autoSpaceDE w:val="0"/>
        <w:autoSpaceDN w:val="0"/>
        <w:adjustRightInd w:val="0"/>
        <w:jc w:val="center"/>
        <w:rPr>
          <w:b/>
          <w:i/>
          <w:sz w:val="28"/>
          <w:szCs w:val="28"/>
        </w:rPr>
      </w:pPr>
      <w:r w:rsidRPr="00DC2549">
        <w:rPr>
          <w:b/>
          <w:i/>
          <w:sz w:val="28"/>
          <w:szCs w:val="28"/>
        </w:rPr>
        <w:t>для определения в муниципальные дошкольные образовательные</w:t>
      </w:r>
    </w:p>
    <w:p w:rsidR="00525901" w:rsidRPr="00DC2549" w:rsidRDefault="00525901" w:rsidP="00AE7C95">
      <w:pPr>
        <w:widowControl w:val="0"/>
        <w:autoSpaceDE w:val="0"/>
        <w:autoSpaceDN w:val="0"/>
        <w:adjustRightInd w:val="0"/>
        <w:jc w:val="center"/>
        <w:rPr>
          <w:rFonts w:ascii="Calibri" w:hAnsi="Calibri" w:cs="Calibri"/>
        </w:rPr>
      </w:pPr>
      <w:r w:rsidRPr="00DC2549">
        <w:rPr>
          <w:b/>
          <w:i/>
          <w:sz w:val="28"/>
          <w:szCs w:val="28"/>
        </w:rPr>
        <w:t>учреждения, в общей численности детей в возрасте 1 - 6 лет»</w:t>
      </w:r>
    </w:p>
    <w:p w:rsidR="00525901" w:rsidRPr="00DC2549" w:rsidRDefault="00525901" w:rsidP="00AE7C95">
      <w:pPr>
        <w:shd w:val="clear" w:color="auto" w:fill="FFFFFF"/>
        <w:ind w:firstLine="709"/>
        <w:jc w:val="both"/>
        <w:rPr>
          <w:sz w:val="28"/>
          <w:szCs w:val="28"/>
        </w:rPr>
      </w:pPr>
      <w:r w:rsidRPr="00DC2549">
        <w:rPr>
          <w:sz w:val="28"/>
          <w:szCs w:val="28"/>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за 2017 год составила 0 % (2016 год – 0%).</w:t>
      </w:r>
    </w:p>
    <w:p w:rsidR="00362E9A" w:rsidRPr="00DC2549" w:rsidRDefault="00525901" w:rsidP="00AE7C95">
      <w:pPr>
        <w:ind w:firstLine="709"/>
        <w:jc w:val="both"/>
        <w:rPr>
          <w:sz w:val="28"/>
          <w:szCs w:val="28"/>
        </w:rPr>
      </w:pPr>
      <w:r w:rsidRPr="00DC2549">
        <w:rPr>
          <w:sz w:val="28"/>
          <w:szCs w:val="28"/>
        </w:rPr>
        <w:t>Дети в возрасте 1-6 лет, стоящие на учете для определения в муниципальные дошкольные образовательные учреждения, на территории района отсутствуют.</w:t>
      </w:r>
    </w:p>
    <w:p w:rsidR="00362E9A" w:rsidRPr="00DC2549" w:rsidRDefault="00362E9A" w:rsidP="00AE7C95">
      <w:pPr>
        <w:ind w:firstLine="709"/>
        <w:jc w:val="both"/>
        <w:rPr>
          <w:sz w:val="28"/>
          <w:szCs w:val="28"/>
        </w:rPr>
      </w:pPr>
    </w:p>
    <w:p w:rsidR="00362E9A" w:rsidRPr="00DC2549" w:rsidRDefault="00362E9A" w:rsidP="00362E9A">
      <w:pPr>
        <w:ind w:firstLine="709"/>
        <w:jc w:val="center"/>
        <w:rPr>
          <w:b/>
          <w:sz w:val="28"/>
          <w:szCs w:val="28"/>
        </w:rPr>
      </w:pPr>
      <w:r w:rsidRPr="00DC2549">
        <w:rPr>
          <w:b/>
          <w:sz w:val="28"/>
          <w:szCs w:val="28"/>
        </w:rPr>
        <w:t>Показатель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362E9A" w:rsidRPr="00DC2549" w:rsidRDefault="00362E9A" w:rsidP="00362E9A">
      <w:pPr>
        <w:ind w:firstLine="709"/>
        <w:jc w:val="center"/>
        <w:rPr>
          <w:b/>
          <w:sz w:val="28"/>
          <w:szCs w:val="28"/>
        </w:rPr>
      </w:pPr>
    </w:p>
    <w:p w:rsidR="00362E9A" w:rsidRPr="00DC2549" w:rsidRDefault="00362E9A" w:rsidP="00362E9A">
      <w:pPr>
        <w:ind w:firstLine="709"/>
        <w:rPr>
          <w:sz w:val="28"/>
          <w:szCs w:val="28"/>
        </w:rPr>
      </w:pPr>
      <w:r w:rsidRPr="00DC2549">
        <w:rPr>
          <w:sz w:val="28"/>
          <w:szCs w:val="28"/>
        </w:rPr>
        <w:t xml:space="preserve">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составляет 0% (2016 год – 0%). </w:t>
      </w:r>
    </w:p>
    <w:p w:rsidR="00320859" w:rsidRPr="00DC2549" w:rsidRDefault="00362E9A" w:rsidP="00362E9A">
      <w:pPr>
        <w:ind w:firstLine="709"/>
        <w:jc w:val="both"/>
        <w:rPr>
          <w:sz w:val="28"/>
          <w:szCs w:val="28"/>
        </w:rPr>
      </w:pPr>
      <w:r w:rsidRPr="00DC2549">
        <w:rPr>
          <w:sz w:val="28"/>
          <w:szCs w:val="28"/>
        </w:rPr>
        <w:t>Муниципальные дошкольные образовательные учреждения, здания которых находятся в аварийном состоянии или требуют капитального ремонта, отсутствуют.</w:t>
      </w:r>
    </w:p>
    <w:p w:rsidR="00320859" w:rsidRPr="00DC2549" w:rsidRDefault="00320859" w:rsidP="00362E9A">
      <w:pPr>
        <w:ind w:firstLine="709"/>
        <w:jc w:val="both"/>
        <w:rPr>
          <w:sz w:val="28"/>
          <w:szCs w:val="28"/>
        </w:rPr>
      </w:pPr>
    </w:p>
    <w:p w:rsidR="00320859" w:rsidRPr="00DC2549" w:rsidRDefault="00320859" w:rsidP="00320859">
      <w:pPr>
        <w:ind w:firstLine="709"/>
        <w:jc w:val="center"/>
        <w:rPr>
          <w:b/>
          <w:sz w:val="28"/>
          <w:szCs w:val="28"/>
        </w:rPr>
      </w:pPr>
      <w:r w:rsidRPr="00DC2549">
        <w:rPr>
          <w:b/>
          <w:sz w:val="28"/>
          <w:szCs w:val="28"/>
        </w:rPr>
        <w:t>Показатель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320859" w:rsidRPr="00DC2549" w:rsidRDefault="00320859" w:rsidP="00320859">
      <w:pPr>
        <w:ind w:firstLine="709"/>
        <w:jc w:val="center"/>
        <w:rPr>
          <w:b/>
          <w:sz w:val="28"/>
          <w:szCs w:val="28"/>
        </w:rPr>
      </w:pPr>
    </w:p>
    <w:p w:rsidR="00320859" w:rsidRPr="00DC2549" w:rsidRDefault="00320859" w:rsidP="00320859">
      <w:pPr>
        <w:ind w:firstLine="709"/>
        <w:jc w:val="both"/>
        <w:rPr>
          <w:sz w:val="28"/>
          <w:szCs w:val="28"/>
        </w:rPr>
      </w:pPr>
      <w:r w:rsidRPr="00DC2549">
        <w:rPr>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составляет 0% (2016 – 0 %). Стабильность показателя сохраняется за счет повышения качества образования, работы с обучающимися по индивидуальным образовательным маршрутам.</w:t>
      </w:r>
    </w:p>
    <w:p w:rsidR="00525901" w:rsidRPr="00DC2549" w:rsidRDefault="00525901" w:rsidP="00362E9A">
      <w:pPr>
        <w:ind w:firstLine="709"/>
        <w:jc w:val="both"/>
        <w:rPr>
          <w:sz w:val="28"/>
          <w:szCs w:val="28"/>
        </w:rPr>
      </w:pPr>
      <w:r w:rsidRPr="00DC2549">
        <w:rPr>
          <w:sz w:val="28"/>
          <w:szCs w:val="28"/>
        </w:rPr>
        <w:t xml:space="preserve">    </w:t>
      </w:r>
    </w:p>
    <w:p w:rsidR="00525901" w:rsidRPr="00DC2549" w:rsidRDefault="00525901" w:rsidP="00525901">
      <w:pPr>
        <w:ind w:firstLine="567"/>
        <w:jc w:val="both"/>
        <w:rPr>
          <w:sz w:val="28"/>
          <w:szCs w:val="28"/>
        </w:rPr>
      </w:pPr>
    </w:p>
    <w:p w:rsidR="00525901" w:rsidRPr="00DC2549" w:rsidRDefault="00525901" w:rsidP="00525901">
      <w:pPr>
        <w:ind w:firstLine="567"/>
        <w:jc w:val="center"/>
        <w:rPr>
          <w:b/>
          <w:i/>
          <w:color w:val="000000"/>
          <w:sz w:val="28"/>
          <w:szCs w:val="28"/>
        </w:rPr>
      </w:pPr>
      <w:r w:rsidRPr="00DC2549">
        <w:rPr>
          <w:b/>
          <w:i/>
          <w:sz w:val="28"/>
          <w:szCs w:val="28"/>
        </w:rPr>
        <w:t>Показатель</w:t>
      </w:r>
      <w:r w:rsidRPr="00DC2549">
        <w:rPr>
          <w:b/>
          <w:i/>
          <w:color w:val="000000"/>
          <w:sz w:val="20"/>
          <w:szCs w:val="20"/>
        </w:rPr>
        <w:t xml:space="preserve"> </w:t>
      </w:r>
      <w:r w:rsidRPr="00DC2549">
        <w:rPr>
          <w:b/>
          <w:i/>
          <w:color w:val="000000"/>
          <w:sz w:val="28"/>
          <w:szCs w:val="28"/>
        </w:rPr>
        <w:t xml:space="preserve">«Доля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p>
    <w:p w:rsidR="00E140E8" w:rsidRPr="00DC2549" w:rsidRDefault="00E140E8" w:rsidP="00E140E8">
      <w:pPr>
        <w:ind w:firstLine="709"/>
        <w:jc w:val="both"/>
        <w:rPr>
          <w:color w:val="000000"/>
          <w:sz w:val="28"/>
          <w:szCs w:val="28"/>
        </w:rPr>
      </w:pPr>
      <w:r w:rsidRPr="00DC2549">
        <w:rPr>
          <w:color w:val="000000"/>
          <w:sz w:val="28"/>
          <w:szCs w:val="28"/>
        </w:rPr>
        <w:t xml:space="preserve">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составляет 0% (2016 год – 0%). </w:t>
      </w:r>
    </w:p>
    <w:p w:rsidR="00525901" w:rsidRPr="00DC2549" w:rsidRDefault="00525901" w:rsidP="00525901">
      <w:pPr>
        <w:ind w:firstLine="720"/>
        <w:jc w:val="both"/>
        <w:rPr>
          <w:color w:val="000000"/>
          <w:sz w:val="28"/>
          <w:szCs w:val="28"/>
        </w:rPr>
      </w:pPr>
      <w:r w:rsidRPr="00DC2549">
        <w:rPr>
          <w:color w:val="000000"/>
          <w:sz w:val="28"/>
          <w:szCs w:val="28"/>
        </w:rPr>
        <w:t xml:space="preserve">В связи с вводом в эксплуатацию нового здания МБОУ "Новоаганская ОСШ №2" с 2014 года  100% обучающихся в муниципальных общеобразовательных учреждениях района занимаются в первую смену. </w:t>
      </w:r>
    </w:p>
    <w:p w:rsidR="00525901" w:rsidRPr="00DC2549" w:rsidRDefault="00525901" w:rsidP="00525901">
      <w:pPr>
        <w:ind w:firstLine="567"/>
        <w:jc w:val="both"/>
        <w:rPr>
          <w:b/>
          <w:i/>
          <w:color w:val="000000"/>
          <w:sz w:val="28"/>
          <w:szCs w:val="28"/>
        </w:rPr>
      </w:pPr>
    </w:p>
    <w:p w:rsidR="00525901" w:rsidRPr="00DC2549" w:rsidRDefault="00525901" w:rsidP="00525901">
      <w:pPr>
        <w:ind w:firstLine="567"/>
        <w:jc w:val="center"/>
        <w:rPr>
          <w:b/>
          <w:i/>
          <w:color w:val="000000"/>
          <w:sz w:val="28"/>
          <w:szCs w:val="28"/>
        </w:rPr>
      </w:pPr>
      <w:r w:rsidRPr="00DC2549">
        <w:rPr>
          <w:b/>
          <w:i/>
          <w:sz w:val="28"/>
          <w:szCs w:val="28"/>
        </w:rPr>
        <w:t>Показатель</w:t>
      </w:r>
      <w:r w:rsidRPr="00DC2549">
        <w:rPr>
          <w:color w:val="000000"/>
          <w:sz w:val="28"/>
          <w:szCs w:val="28"/>
        </w:rPr>
        <w:t xml:space="preserve"> «</w:t>
      </w:r>
      <w:r w:rsidRPr="00DC2549">
        <w:rPr>
          <w:b/>
          <w:i/>
          <w:color w:val="000000"/>
          <w:sz w:val="28"/>
          <w:szCs w:val="28"/>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p w:rsidR="00525901" w:rsidRPr="00DC2549" w:rsidRDefault="00525901" w:rsidP="00525901">
      <w:pPr>
        <w:ind w:firstLine="567"/>
        <w:jc w:val="both"/>
        <w:rPr>
          <w:color w:val="000000"/>
          <w:sz w:val="28"/>
          <w:szCs w:val="28"/>
        </w:rPr>
      </w:pPr>
      <w:r w:rsidRPr="00DC2549">
        <w:rPr>
          <w:color w:val="000000"/>
          <w:sz w:val="28"/>
          <w:szCs w:val="28"/>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100,0% (2016 год – 97,6%). </w:t>
      </w:r>
    </w:p>
    <w:p w:rsidR="00320859" w:rsidRPr="00DC2549" w:rsidRDefault="00525901" w:rsidP="00525901">
      <w:pPr>
        <w:ind w:firstLine="284"/>
        <w:jc w:val="both"/>
        <w:rPr>
          <w:sz w:val="28"/>
          <w:szCs w:val="28"/>
        </w:rPr>
      </w:pPr>
      <w:r w:rsidRPr="00DC2549">
        <w:rPr>
          <w:color w:val="000000"/>
          <w:sz w:val="28"/>
          <w:szCs w:val="28"/>
        </w:rPr>
        <w:t xml:space="preserve"> Доля учреждений, соответствующих современным требованиям обучения, увеличилась в 2017 году по сравнению с прошлым годом за счет реализации мероприятий программы "Развитие образования в Нижневартовском районе на 2014-2020 годы", </w:t>
      </w:r>
      <w:r w:rsidRPr="00DC2549">
        <w:rPr>
          <w:sz w:val="28"/>
          <w:szCs w:val="28"/>
        </w:rPr>
        <w:t>за счет оптимизации неиспользованных площадей, проведения капитальных и текущих ремонтов.</w:t>
      </w:r>
    </w:p>
    <w:p w:rsidR="00320859" w:rsidRPr="00DC2549" w:rsidRDefault="00320859" w:rsidP="00525901">
      <w:pPr>
        <w:ind w:firstLine="284"/>
        <w:jc w:val="both"/>
        <w:rPr>
          <w:sz w:val="28"/>
          <w:szCs w:val="28"/>
        </w:rPr>
      </w:pPr>
    </w:p>
    <w:p w:rsidR="00320859" w:rsidRPr="00DC2549" w:rsidRDefault="00320859" w:rsidP="00320859">
      <w:pPr>
        <w:ind w:firstLine="709"/>
        <w:jc w:val="center"/>
        <w:rPr>
          <w:b/>
          <w:sz w:val="28"/>
          <w:szCs w:val="28"/>
        </w:rPr>
      </w:pPr>
      <w:r w:rsidRPr="00DC2549">
        <w:rPr>
          <w:b/>
          <w:sz w:val="28"/>
          <w:szCs w:val="28"/>
        </w:rPr>
        <w:t>Показатель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320859" w:rsidRPr="00DC2549" w:rsidRDefault="00320859" w:rsidP="00320859">
      <w:pPr>
        <w:ind w:firstLine="709"/>
        <w:jc w:val="center"/>
        <w:rPr>
          <w:b/>
          <w:sz w:val="28"/>
          <w:szCs w:val="28"/>
        </w:rPr>
      </w:pPr>
    </w:p>
    <w:p w:rsidR="00320859" w:rsidRPr="00DC2549" w:rsidRDefault="00320859" w:rsidP="00320859">
      <w:pPr>
        <w:ind w:firstLine="709"/>
        <w:jc w:val="both"/>
        <w:rPr>
          <w:sz w:val="28"/>
          <w:szCs w:val="28"/>
        </w:rPr>
      </w:pPr>
      <w:r w:rsidRPr="00DC2549">
        <w:rPr>
          <w:sz w:val="28"/>
          <w:szCs w:val="28"/>
        </w:rPr>
        <w:t xml:space="preserve">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0% (2016 год – 0%). </w:t>
      </w:r>
    </w:p>
    <w:p w:rsidR="00320859" w:rsidRPr="00DC2549" w:rsidRDefault="00320859" w:rsidP="00320859">
      <w:pPr>
        <w:ind w:firstLine="709"/>
        <w:jc w:val="both"/>
        <w:rPr>
          <w:sz w:val="28"/>
          <w:szCs w:val="28"/>
        </w:rPr>
      </w:pPr>
      <w:r w:rsidRPr="00DC2549">
        <w:rPr>
          <w:sz w:val="28"/>
          <w:szCs w:val="28"/>
        </w:rPr>
        <w:t xml:space="preserve"> Муниципальные общеобразовательные учреждения, здания которых находятся в аварийном состоянии или требуют капитального ремонта, отсутствуют.</w:t>
      </w:r>
    </w:p>
    <w:p w:rsidR="00525901" w:rsidRPr="00DC2549" w:rsidRDefault="00525901" w:rsidP="00525901">
      <w:pPr>
        <w:ind w:firstLine="284"/>
        <w:jc w:val="both"/>
        <w:rPr>
          <w:sz w:val="28"/>
          <w:szCs w:val="28"/>
        </w:rPr>
      </w:pPr>
      <w:r w:rsidRPr="00DC2549">
        <w:rPr>
          <w:sz w:val="28"/>
          <w:szCs w:val="28"/>
        </w:rPr>
        <w:t xml:space="preserve"> </w:t>
      </w:r>
    </w:p>
    <w:p w:rsidR="00A62011" w:rsidRPr="00DC2549" w:rsidRDefault="00A62011" w:rsidP="00A62011">
      <w:pPr>
        <w:ind w:firstLine="284"/>
        <w:jc w:val="both"/>
        <w:rPr>
          <w:b/>
          <w:sz w:val="28"/>
          <w:szCs w:val="28"/>
        </w:rPr>
      </w:pPr>
      <w:r w:rsidRPr="00DC2549">
        <w:rPr>
          <w:b/>
          <w:sz w:val="28"/>
          <w:szCs w:val="28"/>
        </w:rPr>
        <w:t>Показатель «Доля детей первой и второй групп здоровья в общей численности обучающихся в муниципальных общеобразовательных учреждениях»</w:t>
      </w:r>
    </w:p>
    <w:p w:rsidR="00A62011" w:rsidRPr="00DC2549" w:rsidRDefault="00A62011" w:rsidP="00A62011">
      <w:pPr>
        <w:ind w:firstLine="284"/>
        <w:jc w:val="both"/>
        <w:rPr>
          <w:b/>
          <w:sz w:val="28"/>
          <w:szCs w:val="28"/>
        </w:rPr>
      </w:pPr>
    </w:p>
    <w:p w:rsidR="00A62011" w:rsidRPr="00DC2549" w:rsidRDefault="00A62011" w:rsidP="00A62011">
      <w:pPr>
        <w:ind w:firstLine="709"/>
        <w:jc w:val="both"/>
        <w:rPr>
          <w:sz w:val="28"/>
          <w:szCs w:val="28"/>
        </w:rPr>
      </w:pPr>
      <w:r w:rsidRPr="00DC2549">
        <w:rPr>
          <w:sz w:val="28"/>
          <w:szCs w:val="28"/>
        </w:rPr>
        <w:t>В 2017 году произошло уменьшение доли детей первой и второй групп здоровья в общей численности обучающихся в муниципальных общеобразовательных учреждениях до 87,1 % (2016 – 91,6%) за счет изменения  методики расчета показателя.   Департаментом здравоохранения автономного округа при расчете показателя учитывается общая численность всех детей школьного возраста, проживающих на территории Нижневартовского района, в том числе детей, обучающихся в школах г. Нижневартовск.</w:t>
      </w:r>
    </w:p>
    <w:p w:rsidR="00525901" w:rsidRPr="00DC2549" w:rsidRDefault="00525901" w:rsidP="00525901">
      <w:pPr>
        <w:ind w:firstLine="567"/>
        <w:jc w:val="center"/>
        <w:rPr>
          <w:b/>
          <w:i/>
          <w:color w:val="000000"/>
          <w:sz w:val="28"/>
          <w:szCs w:val="28"/>
        </w:rPr>
      </w:pPr>
    </w:p>
    <w:p w:rsidR="00F44851" w:rsidRPr="00DC2549" w:rsidRDefault="00F44851" w:rsidP="00F44851">
      <w:pPr>
        <w:ind w:firstLine="709"/>
        <w:jc w:val="center"/>
        <w:rPr>
          <w:b/>
          <w:sz w:val="28"/>
          <w:szCs w:val="28"/>
        </w:rPr>
      </w:pPr>
      <w:r w:rsidRPr="00DC2549">
        <w:rPr>
          <w:b/>
          <w:sz w:val="28"/>
          <w:szCs w:val="28"/>
        </w:rPr>
        <w:t>Показатель «Доля муниципальных учреждений культуры, здания которых находятся в аварийном состоянии или требуют капитального ремонта, в общем числе муниципальных учреждений культуры»</w:t>
      </w:r>
    </w:p>
    <w:p w:rsidR="00F44851" w:rsidRPr="00DC2549" w:rsidRDefault="00F44851" w:rsidP="00F44851">
      <w:pPr>
        <w:ind w:firstLine="709"/>
        <w:jc w:val="center"/>
        <w:rPr>
          <w:b/>
          <w:sz w:val="28"/>
          <w:szCs w:val="28"/>
        </w:rPr>
      </w:pPr>
    </w:p>
    <w:p w:rsidR="00F44851" w:rsidRPr="00DC2549" w:rsidRDefault="00F44851" w:rsidP="00F44851">
      <w:pPr>
        <w:ind w:firstLine="709"/>
        <w:rPr>
          <w:sz w:val="28"/>
          <w:szCs w:val="28"/>
        </w:rPr>
      </w:pPr>
      <w:r w:rsidRPr="00DC2549">
        <w:rPr>
          <w:sz w:val="28"/>
          <w:szCs w:val="28"/>
        </w:rPr>
        <w:t xml:space="preserve"> Доля муниципальных учреждений культуры, здания которых находятся в аварийном состоянии или требуют капитального ремонта, в общем числе муниципальных учреждений культуры, составляет 0% (2016 год – 0%). </w:t>
      </w:r>
    </w:p>
    <w:p w:rsidR="00F44851" w:rsidRPr="00DC2549" w:rsidRDefault="00F44851" w:rsidP="00F44851">
      <w:pPr>
        <w:ind w:firstLine="709"/>
        <w:jc w:val="both"/>
        <w:rPr>
          <w:sz w:val="28"/>
          <w:szCs w:val="28"/>
        </w:rPr>
      </w:pPr>
      <w:r w:rsidRPr="00DC2549">
        <w:rPr>
          <w:sz w:val="28"/>
          <w:szCs w:val="28"/>
        </w:rPr>
        <w:t>Муниципальные учреждения культуры, здания которых находятся в аварийном состоянии или требуют капитального ремонта, отсутствуют. В рамках реализации программы «Развитие культуры и туризма в Нижневартовском районе на 2018-2025 годы и на период до 2030 года» регулярно выполняются капитальные ремонты учреждений культуры в Нижневартовском районе.</w:t>
      </w:r>
    </w:p>
    <w:p w:rsidR="00F44851" w:rsidRPr="00DC2549" w:rsidRDefault="00F44851" w:rsidP="00F44851">
      <w:pPr>
        <w:ind w:firstLine="709"/>
        <w:jc w:val="both"/>
        <w:rPr>
          <w:sz w:val="28"/>
          <w:szCs w:val="28"/>
        </w:rPr>
      </w:pPr>
    </w:p>
    <w:p w:rsidR="00BD73C3" w:rsidRPr="00DC2549" w:rsidRDefault="00BD73C3" w:rsidP="00BD73C3">
      <w:pPr>
        <w:ind w:firstLine="567"/>
        <w:jc w:val="center"/>
        <w:rPr>
          <w:b/>
          <w:i/>
          <w:color w:val="000000"/>
          <w:sz w:val="28"/>
          <w:szCs w:val="28"/>
        </w:rPr>
      </w:pPr>
      <w:r w:rsidRPr="00DC2549">
        <w:rPr>
          <w:b/>
          <w:i/>
          <w:sz w:val="28"/>
          <w:szCs w:val="28"/>
        </w:rPr>
        <w:t xml:space="preserve">Показатель </w:t>
      </w:r>
      <w:r w:rsidRPr="00DC2549">
        <w:rPr>
          <w:b/>
          <w:i/>
          <w:color w:val="000000"/>
          <w:sz w:val="28"/>
          <w:szCs w:val="28"/>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rsidR="00BD73C3" w:rsidRPr="00DC2549" w:rsidRDefault="00BD73C3" w:rsidP="00BD73C3">
      <w:pPr>
        <w:ind w:firstLine="567"/>
        <w:jc w:val="both"/>
        <w:rPr>
          <w:color w:val="000000"/>
          <w:sz w:val="28"/>
          <w:szCs w:val="28"/>
        </w:rPr>
      </w:pPr>
      <w:r w:rsidRPr="00DC2549">
        <w:rPr>
          <w:color w:val="000000"/>
          <w:sz w:val="28"/>
          <w:szCs w:val="28"/>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Нижневартовского района составила 85,7%. </w:t>
      </w:r>
    </w:p>
    <w:p w:rsidR="00BD73C3" w:rsidRPr="00DC2549" w:rsidRDefault="00BD73C3" w:rsidP="00BD73C3">
      <w:pPr>
        <w:pStyle w:val="1"/>
        <w:spacing w:before="0" w:line="240" w:lineRule="auto"/>
        <w:ind w:firstLine="567"/>
        <w:jc w:val="both"/>
        <w:rPr>
          <w:rFonts w:ascii="Times New Roman" w:hAnsi="Times New Roman" w:cs="Times New Roman"/>
          <w:color w:val="auto"/>
          <w:sz w:val="28"/>
          <w:szCs w:val="28"/>
        </w:rPr>
      </w:pPr>
      <w:r w:rsidRPr="00DC2549">
        <w:rPr>
          <w:rFonts w:ascii="Times New Roman" w:hAnsi="Times New Roman" w:cs="Times New Roman"/>
          <w:color w:val="000000"/>
          <w:sz w:val="28"/>
          <w:szCs w:val="28"/>
        </w:rPr>
        <w:t>На территории района осуществляют свою деятельность 7 организаций коммунального комплекса. Из них 6 организаций коммунального комплекса частной формы собственности, участие муниципального образования в уставном капитале которых  составляет не более 25%.</w:t>
      </w:r>
    </w:p>
    <w:p w:rsidR="00BD73C3" w:rsidRPr="00DC2549" w:rsidRDefault="00BD73C3" w:rsidP="00525901">
      <w:pPr>
        <w:ind w:firstLine="709"/>
        <w:jc w:val="center"/>
        <w:rPr>
          <w:b/>
          <w:i/>
          <w:sz w:val="28"/>
          <w:szCs w:val="28"/>
        </w:rPr>
      </w:pPr>
    </w:p>
    <w:p w:rsidR="00525901" w:rsidRPr="00DC2549" w:rsidRDefault="00525901" w:rsidP="00525901">
      <w:pPr>
        <w:ind w:firstLine="709"/>
        <w:jc w:val="center"/>
        <w:rPr>
          <w:b/>
          <w:i/>
          <w:sz w:val="28"/>
          <w:szCs w:val="28"/>
        </w:rPr>
      </w:pPr>
      <w:r w:rsidRPr="00DC2549">
        <w:rPr>
          <w:b/>
          <w:i/>
          <w:sz w:val="28"/>
          <w:szCs w:val="28"/>
        </w:rPr>
        <w:t>Показатель «Доля населения, получившего жилые помещения и улучшившего жилищные условия в отчетном году, в общей численности</w:t>
      </w:r>
    </w:p>
    <w:p w:rsidR="00525901" w:rsidRPr="00DC2549" w:rsidRDefault="00525901" w:rsidP="00525901">
      <w:pPr>
        <w:widowControl w:val="0"/>
        <w:autoSpaceDE w:val="0"/>
        <w:autoSpaceDN w:val="0"/>
        <w:adjustRightInd w:val="0"/>
        <w:jc w:val="center"/>
        <w:rPr>
          <w:b/>
          <w:i/>
          <w:sz w:val="28"/>
          <w:szCs w:val="28"/>
        </w:rPr>
      </w:pPr>
      <w:r w:rsidRPr="00DC2549">
        <w:rPr>
          <w:b/>
          <w:i/>
          <w:sz w:val="28"/>
          <w:szCs w:val="28"/>
        </w:rPr>
        <w:t xml:space="preserve">населения, состоящего на учете в качестве нуждающегося в жилых помещениях» </w:t>
      </w:r>
    </w:p>
    <w:p w:rsidR="00525901" w:rsidRPr="00DC2549" w:rsidRDefault="00525901" w:rsidP="00525901">
      <w:pPr>
        <w:ind w:firstLine="708"/>
        <w:jc w:val="both"/>
        <w:rPr>
          <w:sz w:val="28"/>
          <w:szCs w:val="28"/>
        </w:rPr>
      </w:pPr>
      <w:r w:rsidRPr="00DC2549">
        <w:rPr>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составила 62,8% (2016 год – 60,6 %).</w:t>
      </w:r>
    </w:p>
    <w:p w:rsidR="00525901" w:rsidRPr="00DC2549" w:rsidRDefault="00525901" w:rsidP="00525901">
      <w:pPr>
        <w:widowControl w:val="0"/>
        <w:autoSpaceDE w:val="0"/>
        <w:autoSpaceDN w:val="0"/>
        <w:adjustRightInd w:val="0"/>
        <w:ind w:firstLine="709"/>
        <w:jc w:val="both"/>
        <w:rPr>
          <w:color w:val="000000"/>
          <w:sz w:val="28"/>
          <w:szCs w:val="28"/>
        </w:rPr>
      </w:pPr>
      <w:r w:rsidRPr="00DC2549">
        <w:rPr>
          <w:color w:val="000000"/>
          <w:sz w:val="28"/>
          <w:szCs w:val="28"/>
        </w:rPr>
        <w:t xml:space="preserve">В 2017 году из 1741 гражданина, состоящего на учете, улучшили свои жилищные условия 1095 человек, путем получения жилых помещений в порядке очередности по договорам социального найма, переселения из непригодного жилищного фонда, жилых помещений специализированного жилищного фонда, фонда коммерческого использования, реализации мероприятий различных целевых программ (по предоставлению субсидий ветеранам боевых действий, молодым семьям, переселение за пределы округа, обеспечение детей сирот, ипотечное жилищное кредитование, расселение граждан из жилых домов находящихся в зоне подтопления и (или) в зоне береговой линии подверженной абразии, в связи с закрытием д. Усть-Колекъеган; предоставление многодетным семьям выплаты взамен предоставления им земельного участка в собственность бесплатно). </w:t>
      </w:r>
    </w:p>
    <w:p w:rsidR="00525901" w:rsidRPr="00DC2549" w:rsidRDefault="00525901" w:rsidP="00525901">
      <w:pPr>
        <w:widowControl w:val="0"/>
        <w:autoSpaceDE w:val="0"/>
        <w:autoSpaceDN w:val="0"/>
        <w:adjustRightInd w:val="0"/>
        <w:ind w:firstLine="709"/>
        <w:jc w:val="both"/>
        <w:rPr>
          <w:b/>
          <w:i/>
          <w:sz w:val="28"/>
          <w:szCs w:val="28"/>
        </w:rPr>
      </w:pPr>
    </w:p>
    <w:p w:rsidR="00525901" w:rsidRPr="00DC2549" w:rsidRDefault="00525901" w:rsidP="00525901">
      <w:pPr>
        <w:widowControl w:val="0"/>
        <w:autoSpaceDE w:val="0"/>
        <w:autoSpaceDN w:val="0"/>
        <w:adjustRightInd w:val="0"/>
        <w:jc w:val="center"/>
        <w:outlineLvl w:val="1"/>
        <w:rPr>
          <w:b/>
          <w:i/>
          <w:sz w:val="28"/>
          <w:szCs w:val="28"/>
        </w:rPr>
      </w:pPr>
      <w:r w:rsidRPr="00DC2549">
        <w:rPr>
          <w:b/>
          <w:i/>
          <w:sz w:val="28"/>
          <w:szCs w:val="28"/>
        </w:rPr>
        <w:t xml:space="preserve">Показатель «Площадь земельных участков, предоставленных для строительства, в отношении которых с даты принятия решения </w:t>
      </w:r>
    </w:p>
    <w:p w:rsidR="00525901" w:rsidRPr="00DC2549" w:rsidRDefault="00525901" w:rsidP="00525901">
      <w:pPr>
        <w:widowControl w:val="0"/>
        <w:autoSpaceDE w:val="0"/>
        <w:autoSpaceDN w:val="0"/>
        <w:adjustRightInd w:val="0"/>
        <w:jc w:val="center"/>
        <w:outlineLvl w:val="1"/>
        <w:rPr>
          <w:b/>
          <w:i/>
          <w:sz w:val="28"/>
          <w:szCs w:val="28"/>
        </w:rPr>
      </w:pPr>
      <w:r w:rsidRPr="00DC2549">
        <w:rPr>
          <w:b/>
          <w:i/>
          <w:sz w:val="28"/>
          <w:szCs w:val="28"/>
        </w:rPr>
        <w:t xml:space="preserve">о предоставлении земельного участка или подписания протокола о результатах торгов (конкурсов, аукционов) не было получено разрешение </w:t>
      </w:r>
    </w:p>
    <w:p w:rsidR="00525901" w:rsidRPr="00DC2549" w:rsidRDefault="00525901" w:rsidP="00525901">
      <w:pPr>
        <w:widowControl w:val="0"/>
        <w:autoSpaceDE w:val="0"/>
        <w:autoSpaceDN w:val="0"/>
        <w:adjustRightInd w:val="0"/>
        <w:jc w:val="center"/>
        <w:outlineLvl w:val="1"/>
        <w:rPr>
          <w:b/>
          <w:i/>
          <w:sz w:val="28"/>
          <w:szCs w:val="28"/>
        </w:rPr>
      </w:pPr>
      <w:r w:rsidRPr="00DC2549">
        <w:rPr>
          <w:b/>
          <w:i/>
          <w:sz w:val="28"/>
          <w:szCs w:val="28"/>
        </w:rPr>
        <w:t xml:space="preserve">на ввод в эксплуатацию»  </w:t>
      </w:r>
    </w:p>
    <w:p w:rsidR="00525901" w:rsidRPr="00DC2549" w:rsidRDefault="00525901" w:rsidP="00525901">
      <w:pPr>
        <w:widowControl w:val="0"/>
        <w:autoSpaceDE w:val="0"/>
        <w:autoSpaceDN w:val="0"/>
        <w:adjustRightInd w:val="0"/>
        <w:ind w:firstLine="720"/>
        <w:jc w:val="both"/>
        <w:outlineLvl w:val="1"/>
        <w:rPr>
          <w:sz w:val="28"/>
          <w:szCs w:val="28"/>
        </w:rPr>
      </w:pPr>
      <w:r w:rsidRPr="00DC2549">
        <w:rPr>
          <w:sz w:val="28"/>
          <w:szCs w:val="28"/>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отсутствует.</w:t>
      </w:r>
    </w:p>
    <w:p w:rsidR="00525901" w:rsidRPr="00DC2549" w:rsidRDefault="00525901" w:rsidP="00525901">
      <w:pPr>
        <w:ind w:firstLine="720"/>
        <w:jc w:val="both"/>
        <w:rPr>
          <w:i/>
          <w:iCs/>
          <w:sz w:val="28"/>
          <w:szCs w:val="28"/>
        </w:rPr>
      </w:pPr>
      <w:r w:rsidRPr="00DC2549">
        <w:rPr>
          <w:sz w:val="28"/>
          <w:szCs w:val="28"/>
        </w:rPr>
        <w:t>В 2017 году сокращены показатели по срокам согласований в сфере строительства. Так,  для получения разрешения на строительство, количество процедур составило – 5, это значение соответствует значению показателя по  округу,  время прохождения всех процедур сократилось дополнительно на 23 дня и составило 54 дня</w:t>
      </w:r>
      <w:r w:rsidRPr="00DC2549">
        <w:rPr>
          <w:i/>
          <w:iCs/>
          <w:sz w:val="28"/>
          <w:szCs w:val="28"/>
        </w:rPr>
        <w:t>.</w:t>
      </w:r>
    </w:p>
    <w:p w:rsidR="00525901" w:rsidRPr="00DC2549" w:rsidRDefault="00525901" w:rsidP="00525901">
      <w:pPr>
        <w:ind w:firstLine="720"/>
        <w:jc w:val="both"/>
        <w:rPr>
          <w:sz w:val="28"/>
          <w:szCs w:val="28"/>
        </w:rPr>
      </w:pPr>
      <w:r w:rsidRPr="00DC2549">
        <w:rPr>
          <w:sz w:val="28"/>
          <w:szCs w:val="28"/>
        </w:rPr>
        <w:t>Принятые меры позволяют своевременно формировать и  последовательно осваивать земельные участки для жилищного строительства и иных объектов капитального строительства.</w:t>
      </w:r>
    </w:p>
    <w:p w:rsidR="00525901" w:rsidRPr="00DC2549" w:rsidRDefault="00525901" w:rsidP="00525901">
      <w:pPr>
        <w:widowControl w:val="0"/>
        <w:autoSpaceDE w:val="0"/>
        <w:autoSpaceDN w:val="0"/>
        <w:adjustRightInd w:val="0"/>
        <w:ind w:firstLine="709"/>
        <w:jc w:val="center"/>
        <w:rPr>
          <w:b/>
          <w:sz w:val="28"/>
          <w:szCs w:val="28"/>
        </w:rPr>
      </w:pPr>
    </w:p>
    <w:p w:rsidR="00525901" w:rsidRPr="00DC2549" w:rsidRDefault="00525901" w:rsidP="00525901">
      <w:pPr>
        <w:widowControl w:val="0"/>
        <w:autoSpaceDE w:val="0"/>
        <w:autoSpaceDN w:val="0"/>
        <w:adjustRightInd w:val="0"/>
        <w:ind w:firstLine="709"/>
        <w:jc w:val="center"/>
        <w:rPr>
          <w:b/>
          <w:sz w:val="28"/>
          <w:szCs w:val="28"/>
        </w:rPr>
      </w:pPr>
      <w:r w:rsidRPr="00DC2549">
        <w:rPr>
          <w:b/>
          <w:sz w:val="28"/>
          <w:szCs w:val="28"/>
        </w:rPr>
        <w:t>Информация по дополнительным показателям, включенная в доклад главы Нижневартовского района о достигнутых значениях показателей для оценки эффективности деятельности органов местного самоуправления на 2017 год и их планируемых значениях на 3-летний период.</w:t>
      </w:r>
    </w:p>
    <w:p w:rsidR="00525901" w:rsidRPr="00DC2549" w:rsidRDefault="00525901" w:rsidP="00525901">
      <w:pPr>
        <w:widowControl w:val="0"/>
        <w:autoSpaceDE w:val="0"/>
        <w:autoSpaceDN w:val="0"/>
        <w:adjustRightInd w:val="0"/>
        <w:ind w:firstLine="709"/>
        <w:jc w:val="center"/>
        <w:rPr>
          <w:b/>
          <w:sz w:val="28"/>
          <w:szCs w:val="28"/>
        </w:rPr>
      </w:pPr>
    </w:p>
    <w:p w:rsidR="00525901" w:rsidRPr="00DC2549" w:rsidRDefault="00525901" w:rsidP="00525901">
      <w:pPr>
        <w:widowControl w:val="0"/>
        <w:autoSpaceDE w:val="0"/>
        <w:autoSpaceDN w:val="0"/>
        <w:adjustRightInd w:val="0"/>
        <w:ind w:firstLine="709"/>
        <w:jc w:val="center"/>
        <w:rPr>
          <w:b/>
          <w:sz w:val="28"/>
          <w:szCs w:val="28"/>
        </w:rPr>
      </w:pPr>
      <w:r w:rsidRPr="00DC2549">
        <w:rPr>
          <w:b/>
          <w:sz w:val="28"/>
          <w:szCs w:val="28"/>
        </w:rPr>
        <w:t>Состояние жилищного фонда</w:t>
      </w:r>
    </w:p>
    <w:p w:rsidR="00525901" w:rsidRPr="00DC2549" w:rsidRDefault="00525901" w:rsidP="00525901">
      <w:pPr>
        <w:widowControl w:val="0"/>
        <w:autoSpaceDE w:val="0"/>
        <w:autoSpaceDN w:val="0"/>
        <w:adjustRightInd w:val="0"/>
        <w:ind w:firstLine="720"/>
        <w:jc w:val="both"/>
        <w:outlineLvl w:val="1"/>
        <w:rPr>
          <w:sz w:val="28"/>
          <w:szCs w:val="28"/>
        </w:rPr>
      </w:pPr>
      <w:r w:rsidRPr="00DC2549">
        <w:rPr>
          <w:sz w:val="28"/>
          <w:szCs w:val="28"/>
        </w:rPr>
        <w:t xml:space="preserve">В 2017 году площадь жилого фонда  составляла </w:t>
      </w:r>
      <w:r w:rsidRPr="00DC2549">
        <w:rPr>
          <w:color w:val="000000"/>
          <w:sz w:val="28"/>
          <w:szCs w:val="28"/>
        </w:rPr>
        <w:t xml:space="preserve">633 652,0 </w:t>
      </w:r>
      <w:r w:rsidRPr="00DC2549">
        <w:rPr>
          <w:sz w:val="28"/>
          <w:szCs w:val="28"/>
        </w:rPr>
        <w:t>кв.м, в том числе площадь пригодного для проживания составляла 606 814,5 кв.м.</w:t>
      </w:r>
    </w:p>
    <w:p w:rsidR="00525901" w:rsidRPr="00DC2549" w:rsidRDefault="00525901" w:rsidP="00525901">
      <w:pPr>
        <w:widowControl w:val="0"/>
        <w:autoSpaceDE w:val="0"/>
        <w:autoSpaceDN w:val="0"/>
        <w:adjustRightInd w:val="0"/>
        <w:ind w:firstLine="720"/>
        <w:jc w:val="both"/>
        <w:outlineLvl w:val="1"/>
        <w:rPr>
          <w:sz w:val="28"/>
          <w:szCs w:val="28"/>
        </w:rPr>
      </w:pPr>
      <w:r w:rsidRPr="00DC2549">
        <w:rPr>
          <w:sz w:val="28"/>
          <w:szCs w:val="28"/>
        </w:rPr>
        <w:t>За отчетный период  введено в эксплуатацию - 6 421,9 кв.м. жилья (21 жилой дом, в том числе 8 многоквартирных и 13 одноквартирных домов), из которых индивидуальное жилищное строительство составило 924,2 кв.м.</w:t>
      </w:r>
    </w:p>
    <w:p w:rsidR="00525901" w:rsidRPr="00DC2549" w:rsidRDefault="00525901" w:rsidP="00525901">
      <w:pPr>
        <w:widowControl w:val="0"/>
        <w:autoSpaceDE w:val="0"/>
        <w:autoSpaceDN w:val="0"/>
        <w:adjustRightInd w:val="0"/>
        <w:ind w:firstLine="720"/>
        <w:jc w:val="both"/>
        <w:outlineLvl w:val="1"/>
        <w:rPr>
          <w:sz w:val="28"/>
          <w:szCs w:val="28"/>
        </w:rPr>
      </w:pPr>
      <w:r w:rsidRPr="00DC2549">
        <w:rPr>
          <w:sz w:val="28"/>
          <w:szCs w:val="28"/>
        </w:rPr>
        <w:t>На 01.01.2018 г. площадь непригодного жилья составила 26 837,5 кв.м., или 4,2% от общей площади жилищного фонда. Всего за 2017 год выбыло  1 970,5 кв. м.</w:t>
      </w:r>
      <w:r w:rsidRPr="00DC2549">
        <w:t xml:space="preserve"> </w:t>
      </w:r>
      <w:r w:rsidRPr="00DC2549">
        <w:rPr>
          <w:sz w:val="28"/>
          <w:szCs w:val="28"/>
        </w:rPr>
        <w:t xml:space="preserve">жилых помещений, которых снесены  как непригодные для проживания строения. </w:t>
      </w:r>
    </w:p>
    <w:p w:rsidR="00525901" w:rsidRPr="00DC2549" w:rsidRDefault="00525901" w:rsidP="00525901">
      <w:pPr>
        <w:widowControl w:val="0"/>
        <w:autoSpaceDE w:val="0"/>
        <w:autoSpaceDN w:val="0"/>
        <w:adjustRightInd w:val="0"/>
        <w:ind w:firstLine="720"/>
        <w:jc w:val="both"/>
        <w:outlineLvl w:val="1"/>
        <w:rPr>
          <w:color w:val="000000"/>
          <w:sz w:val="28"/>
          <w:szCs w:val="28"/>
        </w:rPr>
      </w:pPr>
      <w:r w:rsidRPr="00DC2549">
        <w:rPr>
          <w:sz w:val="28"/>
          <w:szCs w:val="28"/>
        </w:rPr>
        <w:t xml:space="preserve">В результате проводимых мероприятий в 2017 году 1 095 жителей района улучшили свои жилищные условия, путем получения жилых помещений в порядке очередности по договорам социального найма, переселения из непригодного жилищного фонда, получение жилых помещений специализированного жилищного фонда, </w:t>
      </w:r>
      <w:r w:rsidRPr="00DC2549">
        <w:rPr>
          <w:color w:val="000000"/>
          <w:sz w:val="28"/>
          <w:szCs w:val="28"/>
        </w:rPr>
        <w:t>фонда коммерческого использования, реализации мероприятий различных целевых программ.</w:t>
      </w:r>
    </w:p>
    <w:p w:rsidR="00525901" w:rsidRPr="00DC2549" w:rsidRDefault="00525901" w:rsidP="00525901">
      <w:pPr>
        <w:widowControl w:val="0"/>
        <w:autoSpaceDE w:val="0"/>
        <w:autoSpaceDN w:val="0"/>
        <w:adjustRightInd w:val="0"/>
        <w:ind w:firstLine="720"/>
        <w:jc w:val="both"/>
        <w:outlineLvl w:val="1"/>
      </w:pPr>
    </w:p>
    <w:p w:rsidR="00525901" w:rsidRPr="00DC2549" w:rsidRDefault="00525901" w:rsidP="00525901">
      <w:pPr>
        <w:widowControl w:val="0"/>
        <w:autoSpaceDE w:val="0"/>
        <w:autoSpaceDN w:val="0"/>
        <w:adjustRightInd w:val="0"/>
        <w:ind w:firstLine="709"/>
        <w:jc w:val="center"/>
        <w:rPr>
          <w:sz w:val="28"/>
          <w:szCs w:val="28"/>
        </w:rPr>
      </w:pPr>
      <w:r w:rsidRPr="00DC2549">
        <w:rPr>
          <w:b/>
          <w:sz w:val="28"/>
          <w:szCs w:val="28"/>
        </w:rPr>
        <w:t>Охрана прав граждан и юридических лиц</w:t>
      </w:r>
    </w:p>
    <w:p w:rsidR="00525901" w:rsidRPr="00DC2549" w:rsidRDefault="00525901" w:rsidP="00525901">
      <w:pPr>
        <w:widowControl w:val="0"/>
        <w:autoSpaceDE w:val="0"/>
        <w:autoSpaceDN w:val="0"/>
        <w:adjustRightInd w:val="0"/>
        <w:ind w:firstLine="720"/>
        <w:jc w:val="both"/>
        <w:outlineLvl w:val="1"/>
        <w:rPr>
          <w:sz w:val="28"/>
          <w:szCs w:val="28"/>
        </w:rPr>
      </w:pPr>
      <w:r w:rsidRPr="00DC2549">
        <w:rPr>
          <w:sz w:val="28"/>
          <w:szCs w:val="28"/>
        </w:rPr>
        <w:t xml:space="preserve">В 2017 году   общее количество обращений в суды на действия (бездействия) органа местного самоуправления составило 4, из них, 3 обращения от физических лиц и 1 обращение от юридического лица. </w:t>
      </w:r>
    </w:p>
    <w:p w:rsidR="00525901" w:rsidRPr="00A13929" w:rsidRDefault="00525901" w:rsidP="00525901">
      <w:pPr>
        <w:ind w:firstLine="709"/>
        <w:jc w:val="both"/>
        <w:rPr>
          <w:sz w:val="28"/>
          <w:szCs w:val="28"/>
          <w:lang w:eastAsia="ar-SA"/>
        </w:rPr>
      </w:pPr>
      <w:r w:rsidRPr="00DC2549">
        <w:rPr>
          <w:sz w:val="28"/>
          <w:szCs w:val="28"/>
        </w:rPr>
        <w:t>По результатам рассмотрения обращений, п</w:t>
      </w:r>
      <w:r w:rsidRPr="00DC2549">
        <w:rPr>
          <w:sz w:val="28"/>
          <w:szCs w:val="28"/>
          <w:lang w:eastAsia="ar-SA"/>
        </w:rPr>
        <w:t>о трем заявлениям  судом в удовлетворении требований было отказано, из них одно решение не вступило в силу в связи с обжалованием заявителем. В четвертом случае - заявитель отказался от требований.</w:t>
      </w:r>
    </w:p>
    <w:p w:rsidR="00525901" w:rsidRPr="00A13929" w:rsidRDefault="00525901" w:rsidP="00525901">
      <w:pPr>
        <w:widowControl w:val="0"/>
        <w:autoSpaceDE w:val="0"/>
        <w:autoSpaceDN w:val="0"/>
        <w:adjustRightInd w:val="0"/>
        <w:ind w:firstLine="720"/>
        <w:jc w:val="both"/>
        <w:outlineLvl w:val="1"/>
        <w:rPr>
          <w:sz w:val="28"/>
          <w:szCs w:val="28"/>
        </w:rPr>
      </w:pPr>
    </w:p>
    <w:p w:rsidR="002350F6" w:rsidRDefault="002350F6" w:rsidP="00525901">
      <w:pPr>
        <w:jc w:val="both"/>
        <w:rPr>
          <w:sz w:val="28"/>
          <w:szCs w:val="28"/>
        </w:rPr>
      </w:pPr>
    </w:p>
    <w:p w:rsidR="002350F6" w:rsidRDefault="002350F6" w:rsidP="00525901">
      <w:pPr>
        <w:jc w:val="both"/>
        <w:rPr>
          <w:sz w:val="28"/>
          <w:szCs w:val="28"/>
        </w:rPr>
      </w:pPr>
    </w:p>
    <w:p w:rsidR="00525901" w:rsidRDefault="00525901" w:rsidP="00525901">
      <w:pPr>
        <w:jc w:val="both"/>
        <w:rPr>
          <w:sz w:val="28"/>
          <w:szCs w:val="28"/>
        </w:rPr>
      </w:pPr>
      <w:r w:rsidRPr="00F5636D">
        <w:rPr>
          <w:sz w:val="28"/>
          <w:szCs w:val="28"/>
        </w:rPr>
        <w:t xml:space="preserve">        </w:t>
      </w:r>
    </w:p>
    <w:p w:rsidR="00525901" w:rsidRDefault="00525901" w:rsidP="00F3578E">
      <w:pPr>
        <w:widowControl w:val="0"/>
        <w:autoSpaceDE w:val="0"/>
        <w:autoSpaceDN w:val="0"/>
        <w:adjustRightInd w:val="0"/>
        <w:ind w:left="-720"/>
        <w:jc w:val="center"/>
        <w:outlineLvl w:val="1"/>
        <w:rPr>
          <w:b/>
          <w:i/>
          <w:sz w:val="28"/>
          <w:szCs w:val="28"/>
        </w:rPr>
      </w:pPr>
    </w:p>
    <w:p w:rsidR="00525901" w:rsidRDefault="00525901" w:rsidP="00F3578E">
      <w:pPr>
        <w:widowControl w:val="0"/>
        <w:autoSpaceDE w:val="0"/>
        <w:autoSpaceDN w:val="0"/>
        <w:adjustRightInd w:val="0"/>
        <w:ind w:left="-720"/>
        <w:jc w:val="center"/>
        <w:outlineLvl w:val="1"/>
        <w:rPr>
          <w:b/>
          <w:i/>
          <w:sz w:val="28"/>
          <w:szCs w:val="28"/>
        </w:rPr>
      </w:pPr>
    </w:p>
    <w:p w:rsidR="00525901" w:rsidRDefault="00525901" w:rsidP="00F3578E">
      <w:pPr>
        <w:widowControl w:val="0"/>
        <w:autoSpaceDE w:val="0"/>
        <w:autoSpaceDN w:val="0"/>
        <w:adjustRightInd w:val="0"/>
        <w:ind w:left="-720"/>
        <w:jc w:val="center"/>
        <w:outlineLvl w:val="1"/>
        <w:rPr>
          <w:b/>
          <w:i/>
          <w:sz w:val="28"/>
          <w:szCs w:val="28"/>
        </w:rPr>
      </w:pPr>
    </w:p>
    <w:p w:rsidR="00525901" w:rsidRDefault="00525901" w:rsidP="00F3578E">
      <w:pPr>
        <w:widowControl w:val="0"/>
        <w:autoSpaceDE w:val="0"/>
        <w:autoSpaceDN w:val="0"/>
        <w:adjustRightInd w:val="0"/>
        <w:ind w:left="-720"/>
        <w:jc w:val="center"/>
        <w:outlineLvl w:val="1"/>
        <w:rPr>
          <w:b/>
          <w:i/>
          <w:sz w:val="28"/>
          <w:szCs w:val="28"/>
        </w:rPr>
      </w:pPr>
    </w:p>
    <w:sectPr w:rsidR="00525901" w:rsidSect="00262881">
      <w:pgSz w:w="11906" w:h="16838" w:code="9"/>
      <w:pgMar w:top="1134" w:right="567"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8F7" w:rsidRDefault="00C068F7">
      <w:r>
        <w:separator/>
      </w:r>
    </w:p>
  </w:endnote>
  <w:endnote w:type="continuationSeparator" w:id="0">
    <w:p w:rsidR="00C068F7" w:rsidRDefault="00C0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8F7" w:rsidRDefault="00C068F7">
      <w:r>
        <w:separator/>
      </w:r>
    </w:p>
  </w:footnote>
  <w:footnote w:type="continuationSeparator" w:id="0">
    <w:p w:rsidR="00C068F7" w:rsidRDefault="00C06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1655A"/>
    <w:multiLevelType w:val="hybridMultilevel"/>
    <w:tmpl w:val="49F0D92E"/>
    <w:lvl w:ilvl="0" w:tplc="D19A92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7860"/>
    <w:rsid w:val="00001F1D"/>
    <w:rsid w:val="00013405"/>
    <w:rsid w:val="000168DE"/>
    <w:rsid w:val="0004666A"/>
    <w:rsid w:val="000645F9"/>
    <w:rsid w:val="000739F8"/>
    <w:rsid w:val="000768EA"/>
    <w:rsid w:val="00083007"/>
    <w:rsid w:val="000937AF"/>
    <w:rsid w:val="000B1477"/>
    <w:rsid w:val="000F23E7"/>
    <w:rsid w:val="000F3505"/>
    <w:rsid w:val="000F4F04"/>
    <w:rsid w:val="00101CC3"/>
    <w:rsid w:val="0011352B"/>
    <w:rsid w:val="00114976"/>
    <w:rsid w:val="00121116"/>
    <w:rsid w:val="00123329"/>
    <w:rsid w:val="00134FDB"/>
    <w:rsid w:val="001464B7"/>
    <w:rsid w:val="0015744D"/>
    <w:rsid w:val="00165E3C"/>
    <w:rsid w:val="00183F8B"/>
    <w:rsid w:val="001A7860"/>
    <w:rsid w:val="001B09DC"/>
    <w:rsid w:val="001B4DB9"/>
    <w:rsid w:val="001B575D"/>
    <w:rsid w:val="001B7284"/>
    <w:rsid w:val="001B7F18"/>
    <w:rsid w:val="001C7CF2"/>
    <w:rsid w:val="001D2D13"/>
    <w:rsid w:val="001E4379"/>
    <w:rsid w:val="001E4765"/>
    <w:rsid w:val="001E705E"/>
    <w:rsid w:val="001F6249"/>
    <w:rsid w:val="002026B5"/>
    <w:rsid w:val="0022310C"/>
    <w:rsid w:val="0022711C"/>
    <w:rsid w:val="0023093D"/>
    <w:rsid w:val="002344E5"/>
    <w:rsid w:val="002350F6"/>
    <w:rsid w:val="00240193"/>
    <w:rsid w:val="00240F1F"/>
    <w:rsid w:val="002429A9"/>
    <w:rsid w:val="00246F2A"/>
    <w:rsid w:val="002512E5"/>
    <w:rsid w:val="002533C8"/>
    <w:rsid w:val="00255399"/>
    <w:rsid w:val="002609A4"/>
    <w:rsid w:val="00262881"/>
    <w:rsid w:val="002714CE"/>
    <w:rsid w:val="00283043"/>
    <w:rsid w:val="00285A1D"/>
    <w:rsid w:val="002943B6"/>
    <w:rsid w:val="002A2F13"/>
    <w:rsid w:val="002A5B2E"/>
    <w:rsid w:val="002B055D"/>
    <w:rsid w:val="002E08A1"/>
    <w:rsid w:val="00302C5A"/>
    <w:rsid w:val="00303547"/>
    <w:rsid w:val="00303A10"/>
    <w:rsid w:val="0031269F"/>
    <w:rsid w:val="00320859"/>
    <w:rsid w:val="00321CFE"/>
    <w:rsid w:val="00327D57"/>
    <w:rsid w:val="00327E6F"/>
    <w:rsid w:val="003350A7"/>
    <w:rsid w:val="00354A7B"/>
    <w:rsid w:val="00362E9A"/>
    <w:rsid w:val="003676FD"/>
    <w:rsid w:val="0037543A"/>
    <w:rsid w:val="003839B9"/>
    <w:rsid w:val="0038693B"/>
    <w:rsid w:val="003A640A"/>
    <w:rsid w:val="003D10BF"/>
    <w:rsid w:val="003E5CB0"/>
    <w:rsid w:val="00402280"/>
    <w:rsid w:val="00416361"/>
    <w:rsid w:val="00417E80"/>
    <w:rsid w:val="00441C54"/>
    <w:rsid w:val="00466431"/>
    <w:rsid w:val="00477A6E"/>
    <w:rsid w:val="00485C77"/>
    <w:rsid w:val="004C401D"/>
    <w:rsid w:val="004C4F40"/>
    <w:rsid w:val="004C7DDA"/>
    <w:rsid w:val="004F0557"/>
    <w:rsid w:val="00504571"/>
    <w:rsid w:val="0052140A"/>
    <w:rsid w:val="00521D50"/>
    <w:rsid w:val="0052454D"/>
    <w:rsid w:val="00525901"/>
    <w:rsid w:val="00543193"/>
    <w:rsid w:val="00551100"/>
    <w:rsid w:val="00557186"/>
    <w:rsid w:val="00561915"/>
    <w:rsid w:val="00572E87"/>
    <w:rsid w:val="00573D80"/>
    <w:rsid w:val="00581880"/>
    <w:rsid w:val="00585A48"/>
    <w:rsid w:val="005A57AD"/>
    <w:rsid w:val="005A72D3"/>
    <w:rsid w:val="005B1D9D"/>
    <w:rsid w:val="005B4F9F"/>
    <w:rsid w:val="005D423D"/>
    <w:rsid w:val="005F0409"/>
    <w:rsid w:val="005F32F4"/>
    <w:rsid w:val="005F58E9"/>
    <w:rsid w:val="006021BB"/>
    <w:rsid w:val="006049DD"/>
    <w:rsid w:val="00622E66"/>
    <w:rsid w:val="006233BA"/>
    <w:rsid w:val="006317DC"/>
    <w:rsid w:val="00665DAA"/>
    <w:rsid w:val="00672681"/>
    <w:rsid w:val="00674E71"/>
    <w:rsid w:val="00691AD4"/>
    <w:rsid w:val="006B1882"/>
    <w:rsid w:val="006B320D"/>
    <w:rsid w:val="006B6E09"/>
    <w:rsid w:val="006C5A02"/>
    <w:rsid w:val="006C7485"/>
    <w:rsid w:val="006D6950"/>
    <w:rsid w:val="006D7D25"/>
    <w:rsid w:val="006E3F37"/>
    <w:rsid w:val="006F26B7"/>
    <w:rsid w:val="006F7011"/>
    <w:rsid w:val="00707F16"/>
    <w:rsid w:val="007136A1"/>
    <w:rsid w:val="007140E8"/>
    <w:rsid w:val="00724CCB"/>
    <w:rsid w:val="0073106E"/>
    <w:rsid w:val="00731EC9"/>
    <w:rsid w:val="0074493A"/>
    <w:rsid w:val="007541D9"/>
    <w:rsid w:val="00755DEF"/>
    <w:rsid w:val="007668E3"/>
    <w:rsid w:val="0078273E"/>
    <w:rsid w:val="007A1EFD"/>
    <w:rsid w:val="007C211D"/>
    <w:rsid w:val="007D2FEC"/>
    <w:rsid w:val="007D617B"/>
    <w:rsid w:val="007F2D27"/>
    <w:rsid w:val="007F6061"/>
    <w:rsid w:val="00802EE4"/>
    <w:rsid w:val="0081006F"/>
    <w:rsid w:val="0082479D"/>
    <w:rsid w:val="008652D0"/>
    <w:rsid w:val="008869AA"/>
    <w:rsid w:val="008915CD"/>
    <w:rsid w:val="0089794D"/>
    <w:rsid w:val="008A5A2F"/>
    <w:rsid w:val="008C1E0A"/>
    <w:rsid w:val="008D6BBE"/>
    <w:rsid w:val="008D6D74"/>
    <w:rsid w:val="008D77AB"/>
    <w:rsid w:val="008F450F"/>
    <w:rsid w:val="009076F4"/>
    <w:rsid w:val="00912605"/>
    <w:rsid w:val="009251BC"/>
    <w:rsid w:val="00931D84"/>
    <w:rsid w:val="00932FD6"/>
    <w:rsid w:val="009454AB"/>
    <w:rsid w:val="009553BC"/>
    <w:rsid w:val="00957830"/>
    <w:rsid w:val="0096799E"/>
    <w:rsid w:val="0097032F"/>
    <w:rsid w:val="0098754C"/>
    <w:rsid w:val="0099332F"/>
    <w:rsid w:val="0099376E"/>
    <w:rsid w:val="00993D62"/>
    <w:rsid w:val="009D0062"/>
    <w:rsid w:val="009D6BBC"/>
    <w:rsid w:val="009E2072"/>
    <w:rsid w:val="009F0551"/>
    <w:rsid w:val="009F3513"/>
    <w:rsid w:val="009F4AF8"/>
    <w:rsid w:val="009F5C57"/>
    <w:rsid w:val="00A1308F"/>
    <w:rsid w:val="00A13DEA"/>
    <w:rsid w:val="00A15B11"/>
    <w:rsid w:val="00A16DE8"/>
    <w:rsid w:val="00A20045"/>
    <w:rsid w:val="00A4258A"/>
    <w:rsid w:val="00A5383E"/>
    <w:rsid w:val="00A62011"/>
    <w:rsid w:val="00A62102"/>
    <w:rsid w:val="00A6746E"/>
    <w:rsid w:val="00A67F7E"/>
    <w:rsid w:val="00A73AC5"/>
    <w:rsid w:val="00A80FC5"/>
    <w:rsid w:val="00A9639F"/>
    <w:rsid w:val="00AE0898"/>
    <w:rsid w:val="00AE1587"/>
    <w:rsid w:val="00AE7C95"/>
    <w:rsid w:val="00AF5E0F"/>
    <w:rsid w:val="00B07449"/>
    <w:rsid w:val="00B50F43"/>
    <w:rsid w:val="00B51CA7"/>
    <w:rsid w:val="00B60494"/>
    <w:rsid w:val="00B65377"/>
    <w:rsid w:val="00B662AB"/>
    <w:rsid w:val="00B73B1E"/>
    <w:rsid w:val="00B92333"/>
    <w:rsid w:val="00B96004"/>
    <w:rsid w:val="00BA749D"/>
    <w:rsid w:val="00BB2B6D"/>
    <w:rsid w:val="00BC16CB"/>
    <w:rsid w:val="00BD17B2"/>
    <w:rsid w:val="00BD2562"/>
    <w:rsid w:val="00BD2BB7"/>
    <w:rsid w:val="00BD73C3"/>
    <w:rsid w:val="00BE0940"/>
    <w:rsid w:val="00BE2709"/>
    <w:rsid w:val="00BF5CCA"/>
    <w:rsid w:val="00C0185A"/>
    <w:rsid w:val="00C04860"/>
    <w:rsid w:val="00C0514D"/>
    <w:rsid w:val="00C0549F"/>
    <w:rsid w:val="00C068F7"/>
    <w:rsid w:val="00C070B3"/>
    <w:rsid w:val="00C07509"/>
    <w:rsid w:val="00C12AF3"/>
    <w:rsid w:val="00C24D0D"/>
    <w:rsid w:val="00C35C82"/>
    <w:rsid w:val="00C42D7A"/>
    <w:rsid w:val="00C71A45"/>
    <w:rsid w:val="00C931FE"/>
    <w:rsid w:val="00CC417F"/>
    <w:rsid w:val="00CC5443"/>
    <w:rsid w:val="00CC772E"/>
    <w:rsid w:val="00CD1AFE"/>
    <w:rsid w:val="00D0126A"/>
    <w:rsid w:val="00D14177"/>
    <w:rsid w:val="00D16312"/>
    <w:rsid w:val="00D16D12"/>
    <w:rsid w:val="00D30518"/>
    <w:rsid w:val="00D32DBD"/>
    <w:rsid w:val="00D44725"/>
    <w:rsid w:val="00D64ABA"/>
    <w:rsid w:val="00D733E1"/>
    <w:rsid w:val="00D801C5"/>
    <w:rsid w:val="00D81442"/>
    <w:rsid w:val="00D95094"/>
    <w:rsid w:val="00DC2549"/>
    <w:rsid w:val="00DC68F4"/>
    <w:rsid w:val="00DE63DE"/>
    <w:rsid w:val="00E128B3"/>
    <w:rsid w:val="00E140E8"/>
    <w:rsid w:val="00E20578"/>
    <w:rsid w:val="00E23D9E"/>
    <w:rsid w:val="00E270B0"/>
    <w:rsid w:val="00E33EB3"/>
    <w:rsid w:val="00E43BFD"/>
    <w:rsid w:val="00E6096B"/>
    <w:rsid w:val="00E6119F"/>
    <w:rsid w:val="00E64D29"/>
    <w:rsid w:val="00E7432B"/>
    <w:rsid w:val="00E76163"/>
    <w:rsid w:val="00E851E3"/>
    <w:rsid w:val="00E91C3A"/>
    <w:rsid w:val="00E9625D"/>
    <w:rsid w:val="00E97970"/>
    <w:rsid w:val="00EA7981"/>
    <w:rsid w:val="00EB1A12"/>
    <w:rsid w:val="00EB28F5"/>
    <w:rsid w:val="00EC35D0"/>
    <w:rsid w:val="00ED2077"/>
    <w:rsid w:val="00EE57A9"/>
    <w:rsid w:val="00EE6697"/>
    <w:rsid w:val="00EE6722"/>
    <w:rsid w:val="00F02912"/>
    <w:rsid w:val="00F05683"/>
    <w:rsid w:val="00F05BC3"/>
    <w:rsid w:val="00F173C1"/>
    <w:rsid w:val="00F25C64"/>
    <w:rsid w:val="00F32A2E"/>
    <w:rsid w:val="00F3578E"/>
    <w:rsid w:val="00F41838"/>
    <w:rsid w:val="00F44851"/>
    <w:rsid w:val="00F5186C"/>
    <w:rsid w:val="00F528AB"/>
    <w:rsid w:val="00F6142D"/>
    <w:rsid w:val="00F669D0"/>
    <w:rsid w:val="00F72323"/>
    <w:rsid w:val="00F93260"/>
    <w:rsid w:val="00F94900"/>
    <w:rsid w:val="00FA0EEA"/>
    <w:rsid w:val="00FA38DB"/>
    <w:rsid w:val="00FB4DEF"/>
    <w:rsid w:val="00FB6187"/>
    <w:rsid w:val="00FB62A1"/>
    <w:rsid w:val="00FB71B3"/>
    <w:rsid w:val="00FC7E78"/>
    <w:rsid w:val="00FD7BB1"/>
    <w:rsid w:val="00FE0FF9"/>
    <w:rsid w:val="00FE2B7C"/>
    <w:rsid w:val="00FF40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FF1A5-BC8C-4DB8-8F21-884AA6B4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8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801C5"/>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uiPriority w:val="99"/>
    <w:rsid w:val="001A786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0"/>
    <w:link w:val="ConsPlusTitle"/>
    <w:uiPriority w:val="99"/>
    <w:rsid w:val="001A7860"/>
    <w:rPr>
      <w:rFonts w:ascii="Arial" w:eastAsia="Times New Roman" w:hAnsi="Arial" w:cs="Arial"/>
      <w:b/>
      <w:bCs/>
      <w:sz w:val="20"/>
      <w:szCs w:val="20"/>
      <w:lang w:eastAsia="ru-RU"/>
    </w:rPr>
  </w:style>
  <w:style w:type="paragraph" w:styleId="a3">
    <w:name w:val="List Paragraph"/>
    <w:basedOn w:val="a"/>
    <w:uiPriority w:val="34"/>
    <w:qFormat/>
    <w:rsid w:val="001A7860"/>
    <w:pPr>
      <w:spacing w:after="200" w:line="276" w:lineRule="auto"/>
      <w:ind w:left="720"/>
    </w:pPr>
    <w:rPr>
      <w:rFonts w:ascii="Calibri" w:hAnsi="Calibri" w:cs="Calibri"/>
      <w:sz w:val="22"/>
      <w:szCs w:val="22"/>
    </w:rPr>
  </w:style>
  <w:style w:type="character" w:styleId="a4">
    <w:name w:val="Hyperlink"/>
    <w:basedOn w:val="a0"/>
    <w:rsid w:val="001A7860"/>
    <w:rPr>
      <w:color w:val="0000FF"/>
      <w:u w:val="single"/>
    </w:rPr>
  </w:style>
  <w:style w:type="table" w:styleId="a5">
    <w:name w:val="Table Grid"/>
    <w:basedOn w:val="a1"/>
    <w:uiPriority w:val="59"/>
    <w:rsid w:val="001A786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nhideWhenUsed/>
    <w:rsid w:val="001A7860"/>
    <w:pPr>
      <w:tabs>
        <w:tab w:val="center" w:pos="4677"/>
        <w:tab w:val="right" w:pos="9355"/>
      </w:tabs>
    </w:pPr>
  </w:style>
  <w:style w:type="character" w:customStyle="1" w:styleId="a7">
    <w:name w:val="Верхний колонтитул Знак"/>
    <w:basedOn w:val="a0"/>
    <w:link w:val="a6"/>
    <w:rsid w:val="001A7860"/>
    <w:rPr>
      <w:rFonts w:ascii="Times New Roman" w:eastAsia="Times New Roman" w:hAnsi="Times New Roman" w:cs="Times New Roman"/>
      <w:sz w:val="24"/>
      <w:szCs w:val="24"/>
      <w:lang w:eastAsia="ru-RU"/>
    </w:rPr>
  </w:style>
  <w:style w:type="paragraph" w:customStyle="1" w:styleId="14">
    <w:name w:val="Обычный+14п"/>
    <w:basedOn w:val="a8"/>
    <w:uiPriority w:val="99"/>
    <w:rsid w:val="002943B6"/>
    <w:pPr>
      <w:spacing w:line="360" w:lineRule="auto"/>
      <w:ind w:firstLine="709"/>
      <w:jc w:val="both"/>
      <w:outlineLvl w:val="0"/>
    </w:pPr>
    <w:rPr>
      <w:bCs/>
      <w:kern w:val="36"/>
    </w:rPr>
  </w:style>
  <w:style w:type="character" w:styleId="a9">
    <w:name w:val="Strong"/>
    <w:basedOn w:val="a0"/>
    <w:qFormat/>
    <w:rsid w:val="002943B6"/>
    <w:rPr>
      <w:rFonts w:cs="Times New Roman"/>
      <w:b/>
      <w:bCs/>
    </w:rPr>
  </w:style>
  <w:style w:type="paragraph" w:styleId="a8">
    <w:name w:val="Body Text"/>
    <w:basedOn w:val="a"/>
    <w:link w:val="aa"/>
    <w:uiPriority w:val="99"/>
    <w:semiHidden/>
    <w:unhideWhenUsed/>
    <w:rsid w:val="002943B6"/>
    <w:pPr>
      <w:spacing w:after="120"/>
    </w:pPr>
  </w:style>
  <w:style w:type="character" w:customStyle="1" w:styleId="aa">
    <w:name w:val="Основной текст Знак"/>
    <w:basedOn w:val="a0"/>
    <w:link w:val="a8"/>
    <w:uiPriority w:val="99"/>
    <w:semiHidden/>
    <w:rsid w:val="002943B6"/>
    <w:rPr>
      <w:rFonts w:ascii="Times New Roman" w:eastAsia="Times New Roman" w:hAnsi="Times New Roman" w:cs="Times New Roman"/>
      <w:sz w:val="24"/>
      <w:szCs w:val="24"/>
      <w:lang w:eastAsia="ru-RU"/>
    </w:rPr>
  </w:style>
  <w:style w:type="paragraph" w:styleId="ab">
    <w:name w:val="Normal (Web)"/>
    <w:basedOn w:val="a"/>
    <w:uiPriority w:val="99"/>
    <w:unhideWhenUsed/>
    <w:rsid w:val="006C5A02"/>
    <w:pPr>
      <w:spacing w:before="100" w:beforeAutospacing="1" w:after="100" w:afterAutospacing="1"/>
    </w:pPr>
    <w:rPr>
      <w:rFonts w:eastAsiaTheme="minorEastAsia"/>
    </w:rPr>
  </w:style>
  <w:style w:type="character" w:customStyle="1" w:styleId="10">
    <w:name w:val="Заголовок 1 Знак"/>
    <w:basedOn w:val="a0"/>
    <w:link w:val="1"/>
    <w:uiPriority w:val="9"/>
    <w:rsid w:val="00D801C5"/>
    <w:rPr>
      <w:rFonts w:asciiTheme="majorHAnsi" w:eastAsiaTheme="majorEastAsia" w:hAnsiTheme="majorHAnsi" w:cstheme="majorBidi"/>
      <w:color w:val="365F91" w:themeColor="accent1" w:themeShade="BF"/>
      <w:sz w:val="32"/>
      <w:szCs w:val="32"/>
    </w:rPr>
  </w:style>
  <w:style w:type="paragraph" w:customStyle="1" w:styleId="ConsPlusNormal">
    <w:name w:val="ConsPlusNormal"/>
    <w:qFormat/>
    <w:rsid w:val="00D801C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9F0551"/>
    <w:rPr>
      <w:rFonts w:ascii="Tahoma" w:hAnsi="Tahoma" w:cs="Tahoma"/>
      <w:sz w:val="16"/>
      <w:szCs w:val="16"/>
    </w:rPr>
  </w:style>
  <w:style w:type="character" w:customStyle="1" w:styleId="ad">
    <w:name w:val="Текст выноски Знак"/>
    <w:basedOn w:val="a0"/>
    <w:link w:val="ac"/>
    <w:uiPriority w:val="99"/>
    <w:semiHidden/>
    <w:rsid w:val="009F0551"/>
    <w:rPr>
      <w:rFonts w:ascii="Tahoma" w:eastAsia="Times New Roman" w:hAnsi="Tahoma" w:cs="Tahoma"/>
      <w:sz w:val="16"/>
      <w:szCs w:val="16"/>
      <w:lang w:eastAsia="ru-RU"/>
    </w:rPr>
  </w:style>
  <w:style w:type="paragraph" w:styleId="ae">
    <w:name w:val="No Spacing"/>
    <w:link w:val="af"/>
    <w:uiPriority w:val="1"/>
    <w:qFormat/>
    <w:rsid w:val="00F94900"/>
    <w:pPr>
      <w:spacing w:after="0" w:line="240" w:lineRule="auto"/>
    </w:pPr>
    <w:rPr>
      <w:rFonts w:ascii="Calibri" w:eastAsia="Times New Roman" w:hAnsi="Calibri" w:cs="Times New Roman"/>
      <w:lang w:eastAsia="ru-RU"/>
    </w:rPr>
  </w:style>
  <w:style w:type="character" w:customStyle="1" w:styleId="af">
    <w:name w:val="Без интервала Знак"/>
    <w:basedOn w:val="a0"/>
    <w:link w:val="ae"/>
    <w:uiPriority w:val="1"/>
    <w:locked/>
    <w:rsid w:val="00F94900"/>
    <w:rPr>
      <w:rFonts w:ascii="Calibri" w:eastAsia="Times New Roman" w:hAnsi="Calibri" w:cs="Times New Roman"/>
      <w:lang w:eastAsia="ru-RU"/>
    </w:rPr>
  </w:style>
  <w:style w:type="paragraph" w:styleId="af0">
    <w:name w:val="Body Text Indent"/>
    <w:basedOn w:val="a"/>
    <w:link w:val="af1"/>
    <w:uiPriority w:val="99"/>
    <w:semiHidden/>
    <w:unhideWhenUsed/>
    <w:rsid w:val="00581880"/>
    <w:pPr>
      <w:spacing w:after="120"/>
      <w:ind w:left="283"/>
    </w:pPr>
  </w:style>
  <w:style w:type="character" w:customStyle="1" w:styleId="af1">
    <w:name w:val="Основной текст с отступом Знак"/>
    <w:basedOn w:val="a0"/>
    <w:link w:val="af0"/>
    <w:uiPriority w:val="99"/>
    <w:semiHidden/>
    <w:rsid w:val="00581880"/>
    <w:rPr>
      <w:rFonts w:ascii="Times New Roman" w:eastAsia="Times New Roman" w:hAnsi="Times New Roman" w:cs="Times New Roman"/>
      <w:sz w:val="24"/>
      <w:szCs w:val="24"/>
      <w:lang w:eastAsia="ru-RU"/>
    </w:rPr>
  </w:style>
  <w:style w:type="paragraph" w:styleId="af2">
    <w:name w:val="Subtitle"/>
    <w:basedOn w:val="a"/>
    <w:link w:val="af3"/>
    <w:qFormat/>
    <w:rsid w:val="00581880"/>
    <w:pPr>
      <w:spacing w:line="360" w:lineRule="auto"/>
    </w:pPr>
    <w:rPr>
      <w:szCs w:val="20"/>
    </w:rPr>
  </w:style>
  <w:style w:type="character" w:customStyle="1" w:styleId="af3">
    <w:name w:val="Подзаголовок Знак"/>
    <w:basedOn w:val="a0"/>
    <w:link w:val="af2"/>
    <w:rsid w:val="00581880"/>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30990">
      <w:bodyDiv w:val="1"/>
      <w:marLeft w:val="0"/>
      <w:marRight w:val="0"/>
      <w:marTop w:val="0"/>
      <w:marBottom w:val="0"/>
      <w:divBdr>
        <w:top w:val="none" w:sz="0" w:space="0" w:color="auto"/>
        <w:left w:val="none" w:sz="0" w:space="0" w:color="auto"/>
        <w:bottom w:val="none" w:sz="0" w:space="0" w:color="auto"/>
        <w:right w:val="none" w:sz="0" w:space="0" w:color="auto"/>
      </w:divBdr>
    </w:div>
    <w:div w:id="1412661236">
      <w:bodyDiv w:val="1"/>
      <w:marLeft w:val="0"/>
      <w:marRight w:val="0"/>
      <w:marTop w:val="0"/>
      <w:marBottom w:val="0"/>
      <w:divBdr>
        <w:top w:val="none" w:sz="0" w:space="0" w:color="auto"/>
        <w:left w:val="none" w:sz="0" w:space="0" w:color="auto"/>
        <w:bottom w:val="none" w:sz="0" w:space="0" w:color="auto"/>
        <w:right w:val="none" w:sz="0" w:space="0" w:color="auto"/>
      </w:divBdr>
      <w:divsChild>
        <w:div w:id="150222866">
          <w:marLeft w:val="0"/>
          <w:marRight w:val="0"/>
          <w:marTop w:val="0"/>
          <w:marBottom w:val="0"/>
          <w:divBdr>
            <w:top w:val="none" w:sz="0" w:space="0" w:color="auto"/>
            <w:left w:val="none" w:sz="0" w:space="0" w:color="auto"/>
            <w:bottom w:val="none" w:sz="0" w:space="0" w:color="auto"/>
            <w:right w:val="none" w:sz="0" w:space="0" w:color="auto"/>
          </w:divBdr>
        </w:div>
        <w:div w:id="621692031">
          <w:marLeft w:val="0"/>
          <w:marRight w:val="0"/>
          <w:marTop w:val="0"/>
          <w:marBottom w:val="0"/>
          <w:divBdr>
            <w:top w:val="none" w:sz="0" w:space="0" w:color="auto"/>
            <w:left w:val="none" w:sz="0" w:space="0" w:color="auto"/>
            <w:bottom w:val="none" w:sz="0" w:space="0" w:color="auto"/>
            <w:right w:val="none" w:sz="0" w:space="0" w:color="auto"/>
          </w:divBdr>
        </w:div>
        <w:div w:id="1567837323">
          <w:marLeft w:val="0"/>
          <w:marRight w:val="0"/>
          <w:marTop w:val="0"/>
          <w:marBottom w:val="0"/>
          <w:divBdr>
            <w:top w:val="none" w:sz="0" w:space="0" w:color="auto"/>
            <w:left w:val="none" w:sz="0" w:space="0" w:color="auto"/>
            <w:bottom w:val="none" w:sz="0" w:space="0" w:color="auto"/>
            <w:right w:val="none" w:sz="0" w:space="0" w:color="auto"/>
          </w:divBdr>
        </w:div>
        <w:div w:id="24557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16651-6525-4D55-A965-58DA0FD69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1</Pages>
  <Words>2114</Words>
  <Characters>12052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ZarbalievaEM</dc:creator>
  <cp:lastModifiedBy>Александрова Ирина Юрьевна</cp:lastModifiedBy>
  <cp:revision>85</cp:revision>
  <cp:lastPrinted>2017-09-01T05:34:00Z</cp:lastPrinted>
  <dcterms:created xsi:type="dcterms:W3CDTF">2015-08-17T10:30:00Z</dcterms:created>
  <dcterms:modified xsi:type="dcterms:W3CDTF">2018-09-06T09:46:00Z</dcterms:modified>
</cp:coreProperties>
</file>